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D3" w:rsidRPr="00956208" w:rsidRDefault="00A728D3" w:rsidP="00A728D3">
      <w:pPr>
        <w:jc w:val="center"/>
        <w:rPr>
          <w:b/>
          <w:caps/>
          <w:sz w:val="28"/>
          <w:szCs w:val="28"/>
        </w:rPr>
      </w:pPr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A728D3" w:rsidRPr="00C4041B" w:rsidRDefault="00A728D3" w:rsidP="00A728D3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A728D3" w:rsidRDefault="00A728D3" w:rsidP="00A72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A728D3" w:rsidRDefault="00A728D3" w:rsidP="00A728D3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A728D3" w:rsidRDefault="00A728D3" w:rsidP="00A728D3">
      <w:pPr>
        <w:jc w:val="center"/>
      </w:pPr>
    </w:p>
    <w:p w:rsidR="00A728D3" w:rsidRDefault="00A728D3" w:rsidP="00A728D3">
      <w:pPr>
        <w:jc w:val="center"/>
      </w:pPr>
    </w:p>
    <w:p w:rsidR="00A728D3" w:rsidRDefault="00A728D3" w:rsidP="00A728D3">
      <w:pPr>
        <w:jc w:val="center"/>
      </w:pPr>
    </w:p>
    <w:p w:rsidR="00A728D3" w:rsidRDefault="00A728D3" w:rsidP="00A728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</w:t>
      </w:r>
      <w:proofErr w:type="gramStart"/>
      <w:r>
        <w:rPr>
          <w:sz w:val="28"/>
          <w:szCs w:val="28"/>
          <w:u w:val="single"/>
        </w:rPr>
        <w:t>дств с к</w:t>
      </w:r>
      <w:proofErr w:type="gramEnd"/>
      <w:r>
        <w:rPr>
          <w:sz w:val="28"/>
          <w:szCs w:val="28"/>
          <w:u w:val="single"/>
        </w:rPr>
        <w:t>урсом</w:t>
      </w:r>
    </w:p>
    <w:p w:rsidR="00A728D3" w:rsidRPr="00672149" w:rsidRDefault="00A728D3" w:rsidP="00A728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ФПК и ПК</w:t>
      </w: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Pr="00672149" w:rsidRDefault="00A728D3" w:rsidP="00A728D3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A728D3" w:rsidRPr="009776A2" w:rsidRDefault="00A728D3" w:rsidP="00A728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Pr="00F927C9" w:rsidRDefault="00A728D3" w:rsidP="00A728D3">
      <w:pPr>
        <w:jc w:val="center"/>
        <w:rPr>
          <w:b/>
          <w:sz w:val="28"/>
          <w:szCs w:val="28"/>
        </w:rPr>
      </w:pPr>
      <w:r w:rsidRPr="00F927C9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Современный ассортимент эмульсий и суспензий промышленного производства</w:t>
      </w:r>
      <w:r w:rsidRPr="00F927C9">
        <w:rPr>
          <w:b/>
          <w:sz w:val="32"/>
          <w:szCs w:val="32"/>
        </w:rPr>
        <w:t>.</w:t>
      </w:r>
    </w:p>
    <w:p w:rsidR="00A728D3" w:rsidRPr="00F927C9" w:rsidRDefault="00A728D3" w:rsidP="00A728D3">
      <w:pPr>
        <w:jc w:val="center"/>
        <w:rPr>
          <w:b/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</w:p>
    <w:p w:rsidR="00A728D3" w:rsidRPr="00C4041B" w:rsidRDefault="00A728D3" w:rsidP="00A728D3">
      <w:pPr>
        <w:jc w:val="center"/>
        <w:rPr>
          <w:sz w:val="28"/>
          <w:szCs w:val="28"/>
        </w:rPr>
      </w:pPr>
    </w:p>
    <w:p w:rsidR="00A728D3" w:rsidRPr="00C4041B" w:rsidRDefault="00A728D3" w:rsidP="00A728D3">
      <w:pPr>
        <w:jc w:val="center"/>
        <w:rPr>
          <w:sz w:val="28"/>
          <w:szCs w:val="28"/>
        </w:rPr>
      </w:pPr>
    </w:p>
    <w:p w:rsidR="00A728D3" w:rsidRDefault="00A728D3" w:rsidP="00A728D3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2020</w:t>
      </w:r>
    </w:p>
    <w:p w:rsidR="00A728D3" w:rsidRPr="0058556C" w:rsidRDefault="00A728D3" w:rsidP="00A728D3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lastRenderedPageBreak/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A728D3" w:rsidRDefault="00A728D3" w:rsidP="00A728D3">
      <w:pPr>
        <w:ind w:firstLine="540"/>
        <w:jc w:val="both"/>
      </w:pPr>
    </w:p>
    <w:p w:rsidR="00A728D3" w:rsidRDefault="00A728D3" w:rsidP="00A728D3">
      <w:pPr>
        <w:ind w:firstLine="540"/>
        <w:jc w:val="both"/>
      </w:pPr>
      <w:r w:rsidRPr="00356F69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вопросам перспектив развития промышленного производства суспензий и эмульсий. Особое внимание уделить вопросам современного ассортимента суспензий и эмульсий и испытаниям к ним в соответствии с Государственной фармакопеей Республики Беларусь.</w:t>
      </w:r>
    </w:p>
    <w:p w:rsidR="00A728D3" w:rsidRPr="006F33E4" w:rsidRDefault="00A728D3" w:rsidP="00A728D3">
      <w:pPr>
        <w:ind w:firstLine="540"/>
        <w:jc w:val="both"/>
      </w:pPr>
      <w:r w:rsidRPr="00356F69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A728D3" w:rsidRDefault="00A728D3" w:rsidP="00A728D3">
      <w:pPr>
        <w:jc w:val="center"/>
        <w:rPr>
          <w:b/>
        </w:rPr>
      </w:pPr>
    </w:p>
    <w:p w:rsidR="00A728D3" w:rsidRDefault="00A728D3" w:rsidP="00A728D3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A728D3" w:rsidRDefault="00A728D3" w:rsidP="00A728D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7"/>
        <w:gridCol w:w="4514"/>
        <w:gridCol w:w="1564"/>
        <w:gridCol w:w="1802"/>
      </w:tblGrid>
      <w:tr w:rsidR="00A728D3" w:rsidTr="00323AA0">
        <w:tc>
          <w:tcPr>
            <w:tcW w:w="1113" w:type="pct"/>
            <w:vAlign w:val="center"/>
          </w:tcPr>
          <w:p w:rsidR="00A728D3" w:rsidRDefault="00A728D3" w:rsidP="00323AA0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2226" w:type="pct"/>
            <w:vAlign w:val="center"/>
          </w:tcPr>
          <w:p w:rsidR="00A728D3" w:rsidRDefault="00A728D3" w:rsidP="00323AA0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771" w:type="pct"/>
            <w:vAlign w:val="center"/>
          </w:tcPr>
          <w:p w:rsidR="00A728D3" w:rsidRDefault="00A728D3" w:rsidP="00323AA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889" w:type="pct"/>
            <w:vAlign w:val="center"/>
          </w:tcPr>
          <w:p w:rsidR="00A728D3" w:rsidRDefault="00A728D3" w:rsidP="00323AA0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A728D3" w:rsidTr="00323AA0">
        <w:tc>
          <w:tcPr>
            <w:tcW w:w="1113" w:type="pct"/>
          </w:tcPr>
          <w:p w:rsidR="00A728D3" w:rsidRPr="00356F69" w:rsidRDefault="00A728D3" w:rsidP="00323AA0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лекция</w:t>
            </w:r>
          </w:p>
        </w:tc>
        <w:tc>
          <w:tcPr>
            <w:tcW w:w="2226" w:type="pct"/>
          </w:tcPr>
          <w:p w:rsidR="00A728D3" w:rsidRPr="00356F69" w:rsidRDefault="00A728D3" w:rsidP="00323AA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Современный ассортимент эмульсий и суспензий промышленного производства.</w:t>
            </w:r>
          </w:p>
        </w:tc>
        <w:tc>
          <w:tcPr>
            <w:tcW w:w="771" w:type="pct"/>
          </w:tcPr>
          <w:p w:rsidR="00A728D3" w:rsidRPr="00356F69" w:rsidRDefault="00A728D3" w:rsidP="00323AA0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0,67 часа</w:t>
            </w:r>
          </w:p>
        </w:tc>
        <w:tc>
          <w:tcPr>
            <w:tcW w:w="889" w:type="pct"/>
          </w:tcPr>
          <w:p w:rsidR="00A728D3" w:rsidRPr="00356F69" w:rsidRDefault="00A728D3" w:rsidP="00323AA0">
            <w:pPr>
              <w:pStyle w:val="1"/>
              <w:rPr>
                <w:sz w:val="24"/>
                <w:szCs w:val="24"/>
              </w:rPr>
            </w:pPr>
            <w:r w:rsidRPr="00356F69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(ситуационная задача) </w:t>
            </w:r>
            <w:r w:rsidRPr="00356F69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лабораторном занятии.</w:t>
            </w:r>
          </w:p>
        </w:tc>
      </w:tr>
    </w:tbl>
    <w:p w:rsidR="00A728D3" w:rsidRDefault="00A728D3" w:rsidP="00A728D3">
      <w:pPr>
        <w:jc w:val="center"/>
      </w:pPr>
    </w:p>
    <w:p w:rsidR="00A728D3" w:rsidRDefault="00A728D3" w:rsidP="00A728D3">
      <w:pPr>
        <w:ind w:firstLine="709"/>
        <w:jc w:val="both"/>
      </w:pPr>
      <w:r>
        <w:t>В настоящее время фармацевтическим эмульсиям уделяется более пристальное внимание, поскольку они нашли широкое применение в медицинской практике. Кроме орального применения эмульсионные системы интенсивно применяются для местного действия в форме мазей, линиментов, кремов, пенообразующих аэрозолей, а также парентерального введения для полноценного питания пациентов</w:t>
      </w:r>
      <w:r w:rsidR="00266C7C">
        <w:t>. Это стало возможным в связи с качественно новым уровнем научных исследований и достижений в области создания эмульсионных систем, а также расширением ассортимента вспомогательных веществ и применением нового современного оборудования.</w:t>
      </w:r>
    </w:p>
    <w:p w:rsidR="00AC21CF" w:rsidRDefault="00AC21CF" w:rsidP="00A728D3">
      <w:pPr>
        <w:ind w:firstLine="709"/>
        <w:jc w:val="both"/>
      </w:pPr>
      <w:r>
        <w:t xml:space="preserve">Значительное место в парентеральном питании на сегодняшний день занимают инфузионные препараты жиров, которые представляют собой мелкодисперсные устойчивые эмульсии «масло-вода» с размером частиц не более 3 мкм. Препараты эмульгированных жиров, по сравнению с белковыми и углеводными препаратами, отличаются высокой энергетической ценностью. </w:t>
      </w:r>
    </w:p>
    <w:p w:rsidR="00AC21CF" w:rsidRDefault="00AC21CF" w:rsidP="00A728D3">
      <w:pPr>
        <w:ind w:firstLine="709"/>
        <w:jc w:val="both"/>
      </w:pPr>
      <w:r>
        <w:t>Значение жировых эмульсий в парентеральном питании не ограничено их энергетической ценностью. Входящие в состав этих препаратов растительные жиры и фосфолипиды</w:t>
      </w:r>
      <w:r w:rsidR="00D66F09">
        <w:t xml:space="preserve"> содержат значительное количество незаменимых полиненасыщенных жирных кислот</w:t>
      </w:r>
      <w:r w:rsidR="00CD6A99">
        <w:t xml:space="preserve"> (линолевой, линоленовой, арахидоновой), которые выполняют исключительно важную роль в метаболических процессах, составляют постоянные структурные элементы клеточных мембран (мембранные липиды) и являются предшественниками тканевых гормонов – простагландинов. В состав растительных эмульгирующих жиров вводят жирорастворимые витамины</w:t>
      </w:r>
      <w:proofErr w:type="gramStart"/>
      <w:r w:rsidR="00CD6A99">
        <w:t xml:space="preserve"> А</w:t>
      </w:r>
      <w:proofErr w:type="gramEnd"/>
      <w:r w:rsidR="00CD6A99">
        <w:t xml:space="preserve">, </w:t>
      </w:r>
      <w:r w:rsidR="00CD6A99">
        <w:rPr>
          <w:lang w:val="en-US"/>
        </w:rPr>
        <w:t>D</w:t>
      </w:r>
      <w:r w:rsidR="00CD6A99" w:rsidRPr="00CD6A99">
        <w:t xml:space="preserve">, </w:t>
      </w:r>
      <w:r w:rsidR="00CD6A99">
        <w:t>Е, К.</w:t>
      </w:r>
    </w:p>
    <w:p w:rsidR="00CD6A99" w:rsidRDefault="00CD6A99" w:rsidP="00A728D3">
      <w:pPr>
        <w:ind w:firstLine="709"/>
        <w:jc w:val="both"/>
      </w:pPr>
      <w:r>
        <w:t xml:space="preserve">Размер частиц диспергированного масла в эмульсиях во много раз меньше диаметра эритроцитов (7-8 мкм). Основная масса частиц в жировых </w:t>
      </w:r>
      <w:r w:rsidR="00481460">
        <w:t xml:space="preserve">эмульсиях </w:t>
      </w:r>
      <w:r>
        <w:t xml:space="preserve">имеет размер 0,5-1,0 мкм, т.е. соответствует размерам хиломикронов крови. </w:t>
      </w:r>
      <w:r w:rsidR="004C6A19">
        <w:t>Благодаря мелкодисперсности и изоосмолярности жировые эмульсии не раздражают стенку вены и даже уменьшают раздражающее действие других веществ.</w:t>
      </w:r>
    </w:p>
    <w:p w:rsidR="004C6A19" w:rsidRDefault="004C6A19" w:rsidP="00A728D3">
      <w:pPr>
        <w:ind w:firstLine="709"/>
        <w:jc w:val="both"/>
      </w:pPr>
      <w:r>
        <w:t>В настоящее время жировые эмульсии подразделяют на несколько типов:</w:t>
      </w:r>
    </w:p>
    <w:p w:rsidR="008306B9" w:rsidRDefault="008306B9" w:rsidP="00A728D3">
      <w:pPr>
        <w:ind w:firstLine="709"/>
        <w:jc w:val="both"/>
      </w:pPr>
      <w:r>
        <w:lastRenderedPageBreak/>
        <w:t xml:space="preserve">- стандартные – жировые эмульсии </w:t>
      </w:r>
      <w:proofErr w:type="gramStart"/>
      <w:r>
        <w:t>длинноцепочечных</w:t>
      </w:r>
      <w:proofErr w:type="gramEnd"/>
      <w:r>
        <w:t xml:space="preserve"> триглицеридов (интралипид, липовеноз);</w:t>
      </w:r>
    </w:p>
    <w:p w:rsidR="008306B9" w:rsidRDefault="008306B9" w:rsidP="00A728D3">
      <w:pPr>
        <w:ind w:firstLine="709"/>
        <w:jc w:val="both"/>
      </w:pPr>
      <w:r>
        <w:t>- физические смеси эмульсий средне- и длинноцепочечных триглиц</w:t>
      </w:r>
      <w:r w:rsidR="002445AD">
        <w:t>е</w:t>
      </w:r>
      <w:r>
        <w:t>ридов (липовеноз МСТ/ЛСТ, липофундин);</w:t>
      </w:r>
    </w:p>
    <w:p w:rsidR="008306B9" w:rsidRDefault="008306B9" w:rsidP="00A728D3">
      <w:pPr>
        <w:ind w:firstLine="709"/>
        <w:jc w:val="both"/>
      </w:pPr>
      <w:r>
        <w:t>- жировые эмульсии на основе оливкового/соевого масел (СМОФ</w:t>
      </w:r>
      <w:r w:rsidR="002445AD">
        <w:t xml:space="preserve"> </w:t>
      </w:r>
      <w:r>
        <w:t>-</w:t>
      </w:r>
      <w:r w:rsidR="002445AD">
        <w:t xml:space="preserve"> </w:t>
      </w:r>
      <w:r>
        <w:t xml:space="preserve">липид, </w:t>
      </w:r>
      <w:proofErr w:type="spellStart"/>
      <w:r>
        <w:t>Омеговен</w:t>
      </w:r>
      <w:proofErr w:type="spellEnd"/>
      <w:r>
        <w:t>) и структуированных липидов (Структолипид)</w:t>
      </w:r>
      <w:r w:rsidR="002445AD">
        <w:t xml:space="preserve">, СМОФ - липид является усовершенствованным вариантом жировых эмульсий, в котором оптимизирован и хорошо сбалансирован состав жирных кислот. Структуированные триглицериды содержат сбалансированное соотношение средне- и </w:t>
      </w:r>
      <w:proofErr w:type="gramStart"/>
      <w:r w:rsidR="002445AD">
        <w:t>длинноцепочечных</w:t>
      </w:r>
      <w:proofErr w:type="gramEnd"/>
      <w:r w:rsidR="002445AD">
        <w:t xml:space="preserve"> триглицеридов и меньшее количество </w:t>
      </w:r>
      <w:proofErr w:type="spellStart"/>
      <w:r w:rsidR="002445AD">
        <w:t>октаеновой</w:t>
      </w:r>
      <w:proofErr w:type="spellEnd"/>
      <w:r w:rsidR="002445AD">
        <w:t xml:space="preserve"> кислоты, поэтому более безопасны, чем физические смеси.</w:t>
      </w:r>
    </w:p>
    <w:p w:rsidR="006B294E" w:rsidRDefault="006B294E" w:rsidP="00A728D3">
      <w:pPr>
        <w:ind w:firstLine="709"/>
        <w:jc w:val="both"/>
      </w:pPr>
      <w:r>
        <w:t xml:space="preserve">Для стабилизации жировых эмульсий в их составы вводят ПАВ, которые образуют вокруг жировых </w:t>
      </w:r>
      <w:proofErr w:type="spellStart"/>
      <w:r>
        <w:t>микрокапель</w:t>
      </w:r>
      <w:proofErr w:type="spellEnd"/>
      <w:r>
        <w:t xml:space="preserve"> молекулярные слои, ориентированные гидрофобными радикалами к жиру и гидрофильными к водной фазе. Так создаются структуры, известные под названием липосом. Такое раздвоение придает фосфолипидным молекулам свойство самопроизвольно образовывать в воде мембраны, представляющие собой двойной слой липидных молекул, обычно называемый липидным бислоем.</w:t>
      </w:r>
    </w:p>
    <w:p w:rsidR="00D14A54" w:rsidRDefault="006B294E" w:rsidP="00A728D3">
      <w:pPr>
        <w:ind w:firstLine="709"/>
        <w:jc w:val="both"/>
      </w:pPr>
      <w:r>
        <w:t xml:space="preserve">Для практического применения липосом исключительно важна их способность </w:t>
      </w:r>
      <w:proofErr w:type="gramStart"/>
      <w:r>
        <w:t>включать</w:t>
      </w:r>
      <w:proofErr w:type="gramEnd"/>
      <w:r>
        <w:t xml:space="preserve"> в себя</w:t>
      </w:r>
      <w:r w:rsidR="00D14A54">
        <w:t xml:space="preserve"> и удерживать вещества различной природы – от неорганических ионов и низкомолекулярных органических соединений до крупных белков и нуклеиновых кислот. Вещество, находящееся в липосоме, защищено ее мембраной от действия неблагоприятных факторов, а с другой стороны та же мембрана не позволяет превысить допустимую концентрацию вещества в биожидкостях организма. Липосома в данном случае выполняет </w:t>
      </w:r>
      <w:r w:rsidR="00646ECC">
        <w:t>функцию</w:t>
      </w:r>
      <w:r w:rsidR="00D14A54">
        <w:t xml:space="preserve"> хранилища (микрорезервуара), из которого препарат высвобождается постепенно, в нужных дозах и в течение требуемого промежутка времени. Поэтому эмульсии для парентерального применения можно отнести к лекарственным формам третьего поколения.</w:t>
      </w:r>
    </w:p>
    <w:p w:rsidR="006B294E" w:rsidRDefault="00D14A54" w:rsidP="00A728D3">
      <w:pPr>
        <w:ind w:firstLine="709"/>
        <w:jc w:val="both"/>
      </w:pPr>
      <w:r>
        <w:t xml:space="preserve">Липосомы получают из природных липидов, поэтому они нетоксичны, не вызывают нежелательных иммунных реакций и биодеградируют под действием обычных ферментов, присутствующих в организме. </w:t>
      </w:r>
    </w:p>
    <w:p w:rsidR="00C43598" w:rsidRDefault="00C43598" w:rsidP="00A728D3">
      <w:pPr>
        <w:ind w:firstLine="709"/>
        <w:jc w:val="both"/>
      </w:pPr>
      <w:r w:rsidRPr="00C43598">
        <w:rPr>
          <w:b/>
        </w:rPr>
        <w:t>Антигемолитические эмульсии.</w:t>
      </w:r>
      <w:r>
        <w:rPr>
          <w:b/>
        </w:rPr>
        <w:t xml:space="preserve"> </w:t>
      </w:r>
      <w:r>
        <w:t>Исследования фосфатидилэтаноламина яичного желтка показали, что он способен задерживать гемолиз эритроцитов. Создание на его основе липидной эмульсии</w:t>
      </w:r>
      <w:r w:rsidR="009C0C40">
        <w:t xml:space="preserve"> позволяет предотвратить специфический иммунный гемолиз эритроцитов. Однако созданные до настоящего времени препараты задерживают гемолиз лишь на 40-60%. Максимально высоким эффектом обладают препараты, содержащие не менее 60-65% фосфатидилэтаноламина. Жировые эмульсии, созданные на его основе, укрепляют мембрану эритроцитов, инактивируют комплемент сыворотки крови и задерживают гемолиз на 95-100%. Одним из препаратов этой группы жировых эмульсий является «Аминофосфатид», содержащий до 3% фосфолипидов, среди которых 60-65% фосфатидилэтаноламина, 20-30% фосфатидилхолина, 10-20% сфинтомиелина и </w:t>
      </w:r>
      <w:r w:rsidR="00A16FC5">
        <w:t>ц</w:t>
      </w:r>
      <w:r w:rsidR="009C0C40">
        <w:t>ереброзид.</w:t>
      </w:r>
      <w:r w:rsidR="00A16FC5">
        <w:t xml:space="preserve"> Препарат апирогенен, безвреден и применяется внутривенно при лечении гемолитических явлений различной этиологии.</w:t>
      </w:r>
    </w:p>
    <w:p w:rsidR="00646ECC" w:rsidRDefault="00646ECC" w:rsidP="00A728D3">
      <w:pPr>
        <w:ind w:firstLine="709"/>
        <w:jc w:val="both"/>
      </w:pPr>
      <w:r w:rsidRPr="00646ECC">
        <w:rPr>
          <w:b/>
        </w:rPr>
        <w:t>Инфузионные эмульсии на основе перфторуглеродов.</w:t>
      </w:r>
      <w:r>
        <w:rPr>
          <w:b/>
        </w:rPr>
        <w:t xml:space="preserve"> </w:t>
      </w:r>
      <w:r>
        <w:t xml:space="preserve">Изучение полностью фторированных органических перфторуглеродов (ПФОС) началось в 70-х годах прошлого столетия. Эти соединения обладают рядом необычных свойств, среди которых наиболее привлекательны химическая инертность и способность </w:t>
      </w:r>
      <w:proofErr w:type="gramStart"/>
      <w:r>
        <w:t>растворять</w:t>
      </w:r>
      <w:proofErr w:type="gramEnd"/>
      <w:r>
        <w:t xml:space="preserve"> значительные количества газов при нормальном давлении – до 50об.% кислорода и до 190об.% углекислого газа. В связи с этим</w:t>
      </w:r>
      <w:r w:rsidR="00C234C2">
        <w:t>,</w:t>
      </w:r>
      <w:r>
        <w:t xml:space="preserve"> ПФОС стали претендовать на роль уникальных переносчиков кислорода</w:t>
      </w:r>
      <w:r w:rsidR="00C234C2">
        <w:t>. Н</w:t>
      </w:r>
      <w:r w:rsidR="00DB0313">
        <w:t xml:space="preserve">а </w:t>
      </w:r>
      <w:r w:rsidR="00B962E9">
        <w:t xml:space="preserve">их </w:t>
      </w:r>
      <w:r w:rsidR="00DB0313">
        <w:t>основе оказалось возможным предложить отличные от традиционных методы искусственной оксигенизации клеток, изолированных органов, целого организма и разработать новые подходы к проблеме газообмена в живых системах.</w:t>
      </w:r>
    </w:p>
    <w:p w:rsidR="00646ECC" w:rsidRDefault="00C234C2" w:rsidP="00A728D3">
      <w:pPr>
        <w:ind w:firstLine="709"/>
        <w:jc w:val="both"/>
      </w:pPr>
      <w:r>
        <w:t>Создание трансфузионных сред, способных осуществлять транспорт кислорода и углекислого газа в большей степени, чем традиционные кровезаменители, крайне важно для многих направлений клинической медицины. Применение таких препаратов актуально тогда, когда требуется большое количество донорской крови</w:t>
      </w:r>
      <w:r w:rsidR="009606DD">
        <w:t xml:space="preserve">, и когда имеет место дефицит времени </w:t>
      </w:r>
      <w:r w:rsidR="009606DD">
        <w:lastRenderedPageBreak/>
        <w:t>для оказания первой медицинской помощи пострадавшим. Они необходимы для длительной консервации органов, предназначенных для пересадки, при лечении анемии, гемофилии и даже СПИДа.</w:t>
      </w:r>
    </w:p>
    <w:p w:rsidR="009606DD" w:rsidRDefault="009606DD" w:rsidP="00A728D3">
      <w:pPr>
        <w:ind w:firstLine="709"/>
        <w:jc w:val="both"/>
      </w:pPr>
      <w:r>
        <w:t>На сегодняшний день существует два основных направления создания искусственных газоносителей – кровезаменителей.</w:t>
      </w:r>
    </w:p>
    <w:p w:rsidR="00646ECC" w:rsidRDefault="009606DD" w:rsidP="00A728D3">
      <w:pPr>
        <w:ind w:firstLine="709"/>
        <w:jc w:val="both"/>
      </w:pPr>
      <w:r>
        <w:t>Первое направление – на основе использования кислородпереносящих белков (в основном модифицированного гемоглобина из эритроцитов крови) прошло длительный путь развития и только к настоящему времени достигло клинических испытаний. Такие препараты должны обеспечивать газотранспорт на уровне свежезаг</w:t>
      </w:r>
      <w:r w:rsidR="00262379">
        <w:t>о</w:t>
      </w:r>
      <w:r>
        <w:t>товленной донорской крови в острый период после кровопотери на срок не менее 10-20 часов, не оказывать повреждающего действия на организм, обладать достаточно длительным сроком хранения (2-3 года).</w:t>
      </w:r>
    </w:p>
    <w:p w:rsidR="009606DD" w:rsidRDefault="009606DD" w:rsidP="00A728D3">
      <w:pPr>
        <w:ind w:firstLine="709"/>
        <w:jc w:val="both"/>
      </w:pPr>
      <w:r>
        <w:t>К этим требованиям приближаются препараты модифицированного гемогл</w:t>
      </w:r>
      <w:r w:rsidR="00262379">
        <w:t>о</w:t>
      </w:r>
      <w:r>
        <w:t>бина:</w:t>
      </w:r>
    </w:p>
    <w:p w:rsidR="009606DD" w:rsidRDefault="009606DD" w:rsidP="00A728D3">
      <w:pPr>
        <w:ind w:firstLine="709"/>
        <w:jc w:val="both"/>
      </w:pPr>
      <w:r>
        <w:t xml:space="preserve">- Полигемоглабин, </w:t>
      </w:r>
      <w:r w:rsidR="00B962E9">
        <w:t xml:space="preserve">который </w:t>
      </w:r>
      <w:r>
        <w:t xml:space="preserve">разработан </w:t>
      </w:r>
      <w:r w:rsidR="00B962E9">
        <w:t xml:space="preserve">компанией </w:t>
      </w:r>
      <w:r>
        <w:t>«</w:t>
      </w:r>
      <w:proofErr w:type="spellStart"/>
      <w:r>
        <w:t>Н</w:t>
      </w:r>
      <w:r w:rsidR="003E0159">
        <w:t>орт</w:t>
      </w:r>
      <w:r>
        <w:t>филд</w:t>
      </w:r>
      <w:proofErr w:type="spellEnd"/>
      <w:r>
        <w:t xml:space="preserve"> </w:t>
      </w:r>
      <w:proofErr w:type="spellStart"/>
      <w:r>
        <w:t>Лэборэториз</w:t>
      </w:r>
      <w:proofErr w:type="spellEnd"/>
      <w:r w:rsidR="003E0159">
        <w:t xml:space="preserve"> (США), где уже приступили к созданию крупномасштабного производства;</w:t>
      </w:r>
    </w:p>
    <w:p w:rsidR="003E0159" w:rsidRDefault="003E0159" w:rsidP="00A728D3">
      <w:pPr>
        <w:ind w:firstLine="709"/>
        <w:jc w:val="both"/>
      </w:pPr>
      <w:r>
        <w:t>- Модифицированный гемоглобин, разработанный «</w:t>
      </w:r>
      <w:proofErr w:type="spellStart"/>
      <w:r>
        <w:t>Бэкстэр</w:t>
      </w:r>
      <w:proofErr w:type="spellEnd"/>
      <w:r>
        <w:t>» (США) и уже разрешенный FDA (Управление по контролю качества пищевых продуктов и лекарственных препаратов) для клинических испытаний;</w:t>
      </w:r>
    </w:p>
    <w:p w:rsidR="003E0159" w:rsidRDefault="003E0159" w:rsidP="00A728D3">
      <w:pPr>
        <w:ind w:firstLine="709"/>
        <w:jc w:val="both"/>
      </w:pPr>
      <w:r>
        <w:t>- Модифицированный гемоглобин «</w:t>
      </w:r>
      <w:proofErr w:type="spellStart"/>
      <w:r>
        <w:t>Гемоксан</w:t>
      </w:r>
      <w:proofErr w:type="spellEnd"/>
      <w:r>
        <w:t>», разработанный в НИИ переливания крови ГНЦ РАМН (Россия), прошедший фазу экспериментального изучения и биологических испытаний;</w:t>
      </w:r>
    </w:p>
    <w:p w:rsidR="003E0159" w:rsidRPr="003E0159" w:rsidRDefault="003E0159" w:rsidP="00A728D3">
      <w:pPr>
        <w:ind w:firstLine="709"/>
        <w:jc w:val="both"/>
      </w:pPr>
      <w:r>
        <w:t>- Препарат «</w:t>
      </w:r>
      <w:proofErr w:type="spellStart"/>
      <w:r>
        <w:t>Геленпол</w:t>
      </w:r>
      <w:proofErr w:type="spellEnd"/>
      <w:r>
        <w:t xml:space="preserve">», разработанный в ИВС РАН совместно с </w:t>
      </w:r>
      <w:proofErr w:type="spellStart"/>
      <w:r>
        <w:t>РосНИИГ</w:t>
      </w:r>
      <w:proofErr w:type="spellEnd"/>
      <w:r>
        <w:t xml:space="preserve"> и</w:t>
      </w:r>
      <w:proofErr w:type="gramStart"/>
      <w:r>
        <w:t xml:space="preserve"> Т</w:t>
      </w:r>
      <w:proofErr w:type="gramEnd"/>
      <w:r>
        <w:t xml:space="preserve"> (Россия).</w:t>
      </w:r>
    </w:p>
    <w:p w:rsidR="00646ECC" w:rsidRDefault="00897527" w:rsidP="00A728D3">
      <w:pPr>
        <w:ind w:firstLine="709"/>
        <w:jc w:val="both"/>
      </w:pPr>
      <w:r>
        <w:t>Второе направление, основой которого являются синтетические – перфторорганические соединения (ПФОС) – существенно отличается от первого. В данном напр</w:t>
      </w:r>
      <w:r w:rsidR="00262379">
        <w:t>а</w:t>
      </w:r>
      <w:r>
        <w:t>влении не требуется забора донорской крови для получения эритроцитов с последующим выделением гемоглобина. В «искусственной крови», полученной с помощью перфторорганических эмульсий, нет природных компонентов, а в качестве сырья применяются соединения, получаемые химическим путем.</w:t>
      </w:r>
    </w:p>
    <w:p w:rsidR="00897527" w:rsidRDefault="00897527" w:rsidP="00A728D3">
      <w:pPr>
        <w:ind w:firstLine="709"/>
        <w:jc w:val="both"/>
      </w:pPr>
      <w:r>
        <w:t>Использование искусственных кровезаменителей на основе ПФОС имеет ряд преимуществ перед донорской кровью:</w:t>
      </w:r>
    </w:p>
    <w:p w:rsidR="00897527" w:rsidRDefault="00897527" w:rsidP="00A728D3">
      <w:pPr>
        <w:ind w:firstLine="709"/>
        <w:jc w:val="both"/>
      </w:pPr>
      <w:r>
        <w:t>- отсутствие проблем, связанных с групповой, подгрупповой несовместимостью и другими фактами;</w:t>
      </w:r>
    </w:p>
    <w:p w:rsidR="00897527" w:rsidRDefault="00897527" w:rsidP="00A728D3">
      <w:pPr>
        <w:ind w:firstLine="709"/>
        <w:jc w:val="both"/>
      </w:pPr>
      <w:r>
        <w:t>- отсутствие иммунологического конфликта;</w:t>
      </w:r>
    </w:p>
    <w:p w:rsidR="00897527" w:rsidRDefault="00897527" w:rsidP="00A728D3">
      <w:pPr>
        <w:ind w:firstLine="709"/>
        <w:jc w:val="both"/>
      </w:pPr>
      <w:r>
        <w:t>- отсутствие проблемы передачи вирусного гепатита, возбудителей СПИДа и других инфекций;</w:t>
      </w:r>
    </w:p>
    <w:p w:rsidR="00897527" w:rsidRDefault="00897527" w:rsidP="00A728D3">
      <w:pPr>
        <w:ind w:firstLine="709"/>
        <w:jc w:val="both"/>
      </w:pPr>
      <w:r>
        <w:t>- длительное время циркуляции в кровеносном русле пациента с сохранением газотранспортной функции;</w:t>
      </w:r>
    </w:p>
    <w:p w:rsidR="00897527" w:rsidRDefault="00897527" w:rsidP="00A728D3">
      <w:pPr>
        <w:ind w:firstLine="709"/>
        <w:jc w:val="both"/>
      </w:pPr>
      <w:r>
        <w:t>- крайне высокие скорости растворения и выделения газов;</w:t>
      </w:r>
    </w:p>
    <w:p w:rsidR="00897527" w:rsidRDefault="00897527" w:rsidP="00A728D3">
      <w:pPr>
        <w:ind w:firstLine="709"/>
        <w:jc w:val="both"/>
      </w:pPr>
      <w:r>
        <w:t>- при длительном хранении не ухудшается газотранспортная функция;</w:t>
      </w:r>
    </w:p>
    <w:p w:rsidR="00897527" w:rsidRDefault="00897527" w:rsidP="00A728D3">
      <w:pPr>
        <w:ind w:firstLine="709"/>
        <w:jc w:val="both"/>
      </w:pPr>
      <w:r>
        <w:t>- возможность организации массового производства.</w:t>
      </w:r>
    </w:p>
    <w:p w:rsidR="00646ECC" w:rsidRDefault="0059749B" w:rsidP="00A728D3">
      <w:pPr>
        <w:ind w:firstLine="709"/>
        <w:jc w:val="both"/>
      </w:pPr>
      <w:r>
        <w:t>На сегодняшний день из таких препарат</w:t>
      </w:r>
      <w:r w:rsidR="00262379">
        <w:t>ов</w:t>
      </w:r>
      <w:r>
        <w:t xml:space="preserve"> разрешен к клиническому применению Перфторан. Он обладает газотранспортными, гемодинамическими, мембраностабилизирующими, реологическими, диуретическими, кардиопротекторными и сорбционными свойствами. </w:t>
      </w:r>
    </w:p>
    <w:p w:rsidR="0059749B" w:rsidRPr="00646ECC" w:rsidRDefault="0059749B" w:rsidP="00A728D3">
      <w:pPr>
        <w:ind w:firstLine="709"/>
        <w:jc w:val="both"/>
      </w:pPr>
      <w:r>
        <w:t xml:space="preserve">Перфторан представляет собой перфторуглеродную прозрачную эмульсию для инфузий с размером частиц в диапазоне 0,065-0,07 мкм и рН 7,2-7,8. Благодаря голубому оттенку, перфторан в СМИ </w:t>
      </w:r>
      <w:r w:rsidR="00B962E9">
        <w:t>встречается</w:t>
      </w:r>
      <w:r>
        <w:t xml:space="preserve"> под названием «голубая кровь». Препарат хранят в замороженном состоянии от -4</w:t>
      </w:r>
      <w:r>
        <w:rPr>
          <w:vertAlign w:val="superscript"/>
        </w:rPr>
        <w:t>0</w:t>
      </w:r>
      <w:r>
        <w:t>С до -18</w:t>
      </w:r>
      <w:r>
        <w:rPr>
          <w:vertAlign w:val="superscript"/>
        </w:rPr>
        <w:t>0</w:t>
      </w:r>
      <w:r>
        <w:t xml:space="preserve">С, </w:t>
      </w:r>
      <w:r w:rsidR="00B962E9">
        <w:t xml:space="preserve">в </w:t>
      </w:r>
      <w:r>
        <w:t>размороженном виде хранят при температуре +4</w:t>
      </w:r>
      <w:r>
        <w:rPr>
          <w:vertAlign w:val="superscript"/>
        </w:rPr>
        <w:t>0</w:t>
      </w:r>
      <w:r>
        <w:t>С не более двух недель. Пр</w:t>
      </w:r>
      <w:r w:rsidR="00B962E9">
        <w:t>именяется</w:t>
      </w:r>
      <w:r>
        <w:t xml:space="preserve"> для капельного или струйного внутривенного введения.</w:t>
      </w:r>
    </w:p>
    <w:p w:rsidR="00442E99" w:rsidRDefault="00442E99" w:rsidP="00A728D3">
      <w:pPr>
        <w:ind w:firstLine="709"/>
        <w:jc w:val="both"/>
      </w:pPr>
      <w:r>
        <w:t>Суспензии являются широко применяемыми лекарственными средствами, особенно в педиатрии. Широкое распространение суспензий объясняется рядом преимуществ по сравнению с другими лекарственными формами:</w:t>
      </w:r>
    </w:p>
    <w:p w:rsidR="00442E99" w:rsidRDefault="00442E99" w:rsidP="00A728D3">
      <w:pPr>
        <w:ind w:firstLine="709"/>
        <w:jc w:val="both"/>
      </w:pPr>
      <w:r>
        <w:lastRenderedPageBreak/>
        <w:t>- более выраженный фармакологический эффект по сравнению с порошками и таблетками;</w:t>
      </w:r>
    </w:p>
    <w:p w:rsidR="00442E99" w:rsidRDefault="00442E99" w:rsidP="00A728D3">
      <w:pPr>
        <w:ind w:firstLine="709"/>
        <w:jc w:val="both"/>
      </w:pPr>
      <w:r>
        <w:t>- пролонгированное действие суспензий для парентерального введения по сравнению с растворами для инъекций;</w:t>
      </w:r>
    </w:p>
    <w:p w:rsidR="00442E99" w:rsidRDefault="00442E99" w:rsidP="00A728D3">
      <w:pPr>
        <w:ind w:firstLine="709"/>
        <w:jc w:val="both"/>
      </w:pPr>
      <w:r>
        <w:t>- возможность маскировки неприятного вкуса действующих веществ, что удобно для применения в детской практике.</w:t>
      </w:r>
    </w:p>
    <w:p w:rsidR="00442E99" w:rsidRDefault="00442E99" w:rsidP="00A728D3">
      <w:pPr>
        <w:ind w:firstLine="709"/>
        <w:jc w:val="both"/>
      </w:pPr>
      <w:r>
        <w:t>Суспензии имеют и ряд недостатков:</w:t>
      </w:r>
    </w:p>
    <w:p w:rsidR="00442E99" w:rsidRDefault="00442E99" w:rsidP="00A728D3">
      <w:pPr>
        <w:ind w:firstLine="709"/>
        <w:jc w:val="both"/>
      </w:pPr>
      <w:r>
        <w:t>- неустойчивость суспензий при хранении</w:t>
      </w:r>
      <w:r w:rsidR="00AE47E3">
        <w:t xml:space="preserve"> и как следствие непродолжительный срок годности;</w:t>
      </w:r>
    </w:p>
    <w:p w:rsidR="00AE47E3" w:rsidRDefault="00AE47E3" w:rsidP="00A728D3">
      <w:pPr>
        <w:ind w:firstLine="709"/>
        <w:jc w:val="both"/>
      </w:pPr>
      <w:r>
        <w:t>- высокая степень зависимости фармакологического эффекта от технологии получения.</w:t>
      </w:r>
    </w:p>
    <w:p w:rsidR="00AE47E3" w:rsidRDefault="00AE47E3" w:rsidP="00A728D3">
      <w:pPr>
        <w:ind w:firstLine="709"/>
        <w:jc w:val="both"/>
      </w:pPr>
      <w:r>
        <w:t>Основной задачей в совершенствовании технологии суспензий на сегодняшний день является повышение уровня степени дисперсности суспензий, что приведет к повышению фармакологического действия и устойчивости получаемых суспензий.</w:t>
      </w:r>
    </w:p>
    <w:p w:rsidR="00AE47E3" w:rsidRDefault="00AE47E3" w:rsidP="00A728D3">
      <w:pPr>
        <w:ind w:firstLine="709"/>
        <w:jc w:val="both"/>
      </w:pPr>
      <w:r>
        <w:t>Дисперсность и устойчивость суспензий существенно зависит от физико-химических свойств составляющих компонентов, от способов их смешивания, технологии получения и применяемого оборудования.</w:t>
      </w:r>
    </w:p>
    <w:p w:rsidR="00AE47E3" w:rsidRDefault="00AE47E3" w:rsidP="00A728D3">
      <w:pPr>
        <w:ind w:firstLine="709"/>
        <w:jc w:val="both"/>
      </w:pPr>
      <w:r>
        <w:t>На сегодняшний день показана эффективность использования для этих целей роторно-пульсационных аппаратов (РПА).</w:t>
      </w:r>
    </w:p>
    <w:p w:rsidR="00AE47E3" w:rsidRDefault="00AE47E3" w:rsidP="00A728D3">
      <w:pPr>
        <w:ind w:firstLine="709"/>
        <w:jc w:val="both"/>
      </w:pPr>
      <w:r>
        <w:t>Применение РПА позволило получить некоторые новые суспензионные лекарственные средства, в частности мазь с экстрактом прополиса и суспензии салазопиридазина, которые соответствуют предъявляемым к ним требованиям по степени однородности и дисперсности</w:t>
      </w:r>
      <w:r w:rsidR="007F5064">
        <w:t>.</w:t>
      </w:r>
    </w:p>
    <w:p w:rsidR="007F5064" w:rsidRDefault="007F5064" w:rsidP="00A728D3">
      <w:pPr>
        <w:ind w:firstLine="709"/>
        <w:jc w:val="both"/>
      </w:pPr>
      <w:r>
        <w:t>Перспективно также применение ультразвука для получения суспензий и эмульсий для парентерального применения. Воздействие ультразвуком дает возможность получить монодисперсные системы с очень малым размером частиц дисперсной фазы (0,1- 1,0 мкм). Кроме этого, ультразвук обладает бактерицидным действием, поэтому суспензии и эмульсии, полученные с помощью ультразвука, стерильны.</w:t>
      </w:r>
    </w:p>
    <w:p w:rsidR="007F5064" w:rsidRDefault="007F5064" w:rsidP="00A728D3">
      <w:pPr>
        <w:ind w:firstLine="709"/>
        <w:jc w:val="both"/>
      </w:pPr>
      <w:r>
        <w:t>Перспективным в развитии лекарственной формы суспензии является получение «сухих суспензий», которые представляют собой сочетание лекарственных средств и вспомогательных веществ (стабилизаторы, консерванты), чаще в виде гранул. Сухие суспензии удобны в транспортировке и имеют продолжительный срок годности.</w:t>
      </w:r>
    </w:p>
    <w:p w:rsidR="007F5064" w:rsidRDefault="007F5064" w:rsidP="00A728D3">
      <w:pPr>
        <w:ind w:firstLine="709"/>
        <w:jc w:val="both"/>
      </w:pPr>
      <w:r>
        <w:t>Одной из важных задач в технологии суспензий является поиск новых, эффективных стабилизаторов, а также разработка и применение комбинированных стабилизаторов</w:t>
      </w:r>
      <w:r w:rsidR="00AC21CF">
        <w:t xml:space="preserve"> с целью уменьшения количества применяемого стабилизатора при получении суспензий.</w:t>
      </w:r>
    </w:p>
    <w:p w:rsidR="00A728D3" w:rsidRDefault="00A728D3" w:rsidP="00A728D3">
      <w:pPr>
        <w:ind w:firstLine="709"/>
        <w:jc w:val="center"/>
        <w:rPr>
          <w:b/>
        </w:rPr>
      </w:pPr>
    </w:p>
    <w:p w:rsidR="00A728D3" w:rsidRDefault="00A728D3" w:rsidP="00A728D3">
      <w:pPr>
        <w:ind w:firstLine="709"/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A728D3" w:rsidRPr="00645224" w:rsidRDefault="00A728D3" w:rsidP="00A728D3">
      <w:pPr>
        <w:autoSpaceDE w:val="0"/>
        <w:autoSpaceDN w:val="0"/>
        <w:adjustRightInd w:val="0"/>
        <w:ind w:firstLine="709"/>
        <w:jc w:val="both"/>
      </w:pPr>
    </w:p>
    <w:p w:rsidR="00A728D3" w:rsidRDefault="00A728D3" w:rsidP="00A728D3">
      <w:pPr>
        <w:ind w:firstLine="540"/>
        <w:jc w:val="both"/>
      </w:pPr>
      <w:r w:rsidRPr="00645224">
        <w:t>Студент прорабатывает самостоятельно вопросы</w:t>
      </w:r>
      <w:r>
        <w:t xml:space="preserve"> перспектив развития промышленного производства суспензий и эмульсий. Особое внимание уделить вопросам современного ассортимента суспензий и эмульсий и испытаниям к ним в соответствии с Государственной фармакопеей Республики Беларусь.</w:t>
      </w:r>
    </w:p>
    <w:p w:rsidR="00A728D3" w:rsidRPr="00645224" w:rsidRDefault="00A728D3" w:rsidP="00A728D3">
      <w:pPr>
        <w:autoSpaceDE w:val="0"/>
        <w:autoSpaceDN w:val="0"/>
        <w:adjustRightInd w:val="0"/>
        <w:ind w:firstLine="709"/>
        <w:jc w:val="both"/>
      </w:pPr>
      <w:r>
        <w:t>Для контроля освоения материала студент отвечает на вопрос на лабораторном занятии (ситуационная задача). Контроль по теме проводится в соответствии с графиком кафедры.</w:t>
      </w:r>
    </w:p>
    <w:p w:rsidR="00A728D3" w:rsidRPr="00645224" w:rsidRDefault="00A728D3" w:rsidP="00A728D3">
      <w:pPr>
        <w:autoSpaceDE w:val="0"/>
        <w:autoSpaceDN w:val="0"/>
        <w:adjustRightInd w:val="0"/>
        <w:ind w:firstLine="709"/>
      </w:pPr>
    </w:p>
    <w:p w:rsidR="00A728D3" w:rsidRPr="00271230" w:rsidRDefault="00A728D3" w:rsidP="00A728D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A728D3" w:rsidRDefault="00A728D3" w:rsidP="00A728D3">
      <w:pPr>
        <w:tabs>
          <w:tab w:val="left" w:pos="7300"/>
        </w:tabs>
        <w:ind w:firstLine="709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A728D3" w:rsidRDefault="00A728D3" w:rsidP="00A728D3">
      <w:pPr>
        <w:tabs>
          <w:tab w:val="left" w:pos="7300"/>
        </w:tabs>
        <w:ind w:firstLine="720"/>
      </w:pPr>
      <w:r>
        <w:t>Критерии оценки:</w:t>
      </w:r>
      <w:r w:rsidRPr="00067D20">
        <w:t xml:space="preserve"> </w:t>
      </w:r>
    </w:p>
    <w:p w:rsidR="00A728D3" w:rsidRDefault="00A728D3" w:rsidP="00A728D3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A728D3" w:rsidRDefault="00A728D3" w:rsidP="00A728D3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A728D3" w:rsidRDefault="00A728D3" w:rsidP="00A728D3">
      <w:pPr>
        <w:tabs>
          <w:tab w:val="left" w:pos="7300"/>
        </w:tabs>
        <w:ind w:firstLine="720"/>
      </w:pPr>
      <w:r>
        <w:t>– 6 – 7 баллов – хорошо;</w:t>
      </w:r>
    </w:p>
    <w:p w:rsidR="00A728D3" w:rsidRPr="009D14A4" w:rsidRDefault="00A728D3" w:rsidP="00A728D3">
      <w:pPr>
        <w:tabs>
          <w:tab w:val="left" w:pos="7300"/>
        </w:tabs>
        <w:ind w:firstLine="720"/>
      </w:pPr>
      <w:r>
        <w:t>– 9 – 10 баллов - отлично.</w:t>
      </w:r>
    </w:p>
    <w:p w:rsidR="00A728D3" w:rsidRDefault="00A728D3" w:rsidP="00A728D3">
      <w:pPr>
        <w:tabs>
          <w:tab w:val="left" w:pos="7300"/>
        </w:tabs>
        <w:rPr>
          <w:b/>
        </w:rPr>
      </w:pPr>
    </w:p>
    <w:p w:rsidR="00A728D3" w:rsidRDefault="00A728D3" w:rsidP="00A728D3">
      <w:pPr>
        <w:jc w:val="center"/>
        <w:rPr>
          <w:b/>
          <w:szCs w:val="24"/>
        </w:rPr>
      </w:pPr>
      <w:r w:rsidRPr="001E1D23">
        <w:rPr>
          <w:b/>
          <w:szCs w:val="24"/>
        </w:rPr>
        <w:lastRenderedPageBreak/>
        <w:t>5. Литература для самоподготовки.</w:t>
      </w:r>
    </w:p>
    <w:p w:rsidR="00A728D3" w:rsidRPr="00C9107D" w:rsidRDefault="00A728D3" w:rsidP="00A728D3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A728D3" w:rsidRPr="00C9107D" w:rsidRDefault="00A728D3" w:rsidP="00A728D3">
      <w:pPr>
        <w:numPr>
          <w:ilvl w:val="0"/>
          <w:numId w:val="1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A728D3" w:rsidRPr="00C9107D" w:rsidRDefault="00A728D3" w:rsidP="00A728D3">
      <w:pPr>
        <w:numPr>
          <w:ilvl w:val="0"/>
          <w:numId w:val="1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A728D3" w:rsidRPr="00C9107D" w:rsidRDefault="00A728D3" w:rsidP="00A728D3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A728D3" w:rsidRPr="00C9107D" w:rsidRDefault="00A728D3" w:rsidP="00A728D3">
      <w:pPr>
        <w:numPr>
          <w:ilvl w:val="0"/>
          <w:numId w:val="2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 xml:space="preserve">): </w:t>
      </w:r>
      <w:proofErr w:type="gramStart"/>
      <w:r w:rsidRPr="00C9107D">
        <w:rPr>
          <w:color w:val="000000"/>
          <w:szCs w:val="24"/>
        </w:rPr>
        <w:t>Разработана</w:t>
      </w:r>
      <w:proofErr w:type="gramEnd"/>
      <w:r w:rsidRPr="00C9107D">
        <w:rPr>
          <w:color w:val="000000"/>
          <w:szCs w:val="24"/>
        </w:rPr>
        <w:t xml:space="preserve"> на основе Европейской фармакопеи. В 2 т. Т.1 Общие методы контроля лекарственных средств/</w:t>
      </w:r>
      <w:proofErr w:type="spellStart"/>
      <w:r w:rsidRPr="00C9107D">
        <w:rPr>
          <w:color w:val="000000"/>
          <w:szCs w:val="24"/>
        </w:rPr>
        <w:t>М-во</w:t>
      </w:r>
      <w:proofErr w:type="spellEnd"/>
      <w:r w:rsidRPr="00C9107D">
        <w:rPr>
          <w:color w:val="000000"/>
          <w:szCs w:val="24"/>
        </w:rPr>
        <w:t xml:space="preserve"> здравоохранения Республики Беларусь, УП «Центр экспертиз и испытаний в здравоохранении»: </w:t>
      </w:r>
      <w:proofErr w:type="gramStart"/>
      <w:r w:rsidRPr="00C9107D">
        <w:rPr>
          <w:color w:val="000000"/>
          <w:szCs w:val="24"/>
        </w:rPr>
        <w:t>под</w:t>
      </w:r>
      <w:proofErr w:type="gramEnd"/>
      <w:r w:rsidRPr="00C9107D">
        <w:rPr>
          <w:color w:val="000000"/>
          <w:szCs w:val="24"/>
        </w:rPr>
        <w:t xml:space="preserve"> общ. Ред. А.А. </w:t>
      </w:r>
      <w:proofErr w:type="spellStart"/>
      <w:r w:rsidRPr="00C9107D">
        <w:rPr>
          <w:color w:val="000000"/>
          <w:szCs w:val="24"/>
        </w:rPr>
        <w:t>Шерякова</w:t>
      </w:r>
      <w:proofErr w:type="spellEnd"/>
      <w:r w:rsidRPr="00C9107D">
        <w:rPr>
          <w:color w:val="000000"/>
          <w:szCs w:val="24"/>
        </w:rPr>
        <w:t xml:space="preserve">. - Молодечно: Тип. «Победа», 2012. – 1220 </w:t>
      </w:r>
      <w:proofErr w:type="gramStart"/>
      <w:r w:rsidRPr="00C9107D">
        <w:rPr>
          <w:color w:val="000000"/>
          <w:szCs w:val="24"/>
        </w:rPr>
        <w:t>с</w:t>
      </w:r>
      <w:proofErr w:type="gramEnd"/>
      <w:r w:rsidRPr="00C9107D">
        <w:rPr>
          <w:color w:val="000000"/>
          <w:szCs w:val="24"/>
        </w:rPr>
        <w:t>.</w:t>
      </w:r>
    </w:p>
    <w:p w:rsidR="00A728D3" w:rsidRPr="00C9107D" w:rsidRDefault="00A728D3" w:rsidP="00A728D3">
      <w:pPr>
        <w:pStyle w:val="a6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 xml:space="preserve">Государственная фармакопея Республики Беларусь. (ГФ. РБ II): </w:t>
      </w:r>
      <w:proofErr w:type="gramStart"/>
      <w:r w:rsidRPr="00C9107D">
        <w:rPr>
          <w:szCs w:val="24"/>
        </w:rPr>
        <w:t>Разработана</w:t>
      </w:r>
      <w:proofErr w:type="gramEnd"/>
      <w:r w:rsidRPr="00C9107D">
        <w:rPr>
          <w:szCs w:val="24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 </w:t>
      </w:r>
      <w:proofErr w:type="spellStart"/>
      <w:proofErr w:type="gramStart"/>
      <w:r w:rsidRPr="00C9107D">
        <w:rPr>
          <w:szCs w:val="24"/>
        </w:rPr>
        <w:t>М-во</w:t>
      </w:r>
      <w:proofErr w:type="spellEnd"/>
      <w:proofErr w:type="gramEnd"/>
      <w:r w:rsidRPr="00C9107D">
        <w:rPr>
          <w:szCs w:val="24"/>
        </w:rPr>
        <w:t xml:space="preserve"> здравоохранения </w:t>
      </w:r>
      <w:proofErr w:type="spellStart"/>
      <w:r w:rsidRPr="00C9107D">
        <w:rPr>
          <w:szCs w:val="24"/>
        </w:rPr>
        <w:t>Респ</w:t>
      </w:r>
      <w:proofErr w:type="spellEnd"/>
      <w:r w:rsidRPr="00C9107D">
        <w:rPr>
          <w:szCs w:val="24"/>
        </w:rPr>
        <w:t>. Беларусь, Центр экспертиз и испытаний в здравоохранении; под общ</w:t>
      </w:r>
      <w:proofErr w:type="gramStart"/>
      <w:r w:rsidRPr="00C9107D">
        <w:rPr>
          <w:szCs w:val="24"/>
        </w:rPr>
        <w:t>.</w:t>
      </w:r>
      <w:proofErr w:type="gramEnd"/>
      <w:r w:rsidRPr="00C9107D">
        <w:rPr>
          <w:szCs w:val="24"/>
        </w:rPr>
        <w:t xml:space="preserve"> </w:t>
      </w:r>
      <w:proofErr w:type="gramStart"/>
      <w:r w:rsidRPr="00C9107D">
        <w:rPr>
          <w:szCs w:val="24"/>
        </w:rPr>
        <w:t>р</w:t>
      </w:r>
      <w:proofErr w:type="gramEnd"/>
      <w:r w:rsidRPr="00C9107D">
        <w:rPr>
          <w:szCs w:val="24"/>
        </w:rPr>
        <w:t>ед. С.И. Марченко. – Молодечно: Типография «Победа», 2016. –1368с.</w:t>
      </w:r>
    </w:p>
    <w:p w:rsidR="00A728D3" w:rsidRPr="00C9107D" w:rsidRDefault="00A728D3" w:rsidP="00A728D3">
      <w:pPr>
        <w:shd w:val="clear" w:color="auto" w:fill="FFFFFF"/>
        <w:ind w:left="360" w:hanging="360"/>
        <w:rPr>
          <w:iCs/>
          <w:szCs w:val="24"/>
        </w:rPr>
      </w:pPr>
    </w:p>
    <w:p w:rsidR="00A728D3" w:rsidRPr="00C9107D" w:rsidRDefault="00A728D3" w:rsidP="00A728D3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A728D3" w:rsidRPr="00C9107D" w:rsidRDefault="00A728D3" w:rsidP="00A728D3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A728D3" w:rsidRPr="00C9107D" w:rsidRDefault="00A728D3" w:rsidP="00A728D3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A728D3" w:rsidRPr="00C9107D" w:rsidRDefault="00A728D3" w:rsidP="00A728D3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A728D3" w:rsidRPr="00C9107D" w:rsidRDefault="00A728D3" w:rsidP="00A728D3">
      <w:pPr>
        <w:jc w:val="center"/>
        <w:rPr>
          <w:szCs w:val="24"/>
        </w:rPr>
      </w:pPr>
    </w:p>
    <w:p w:rsidR="00A728D3" w:rsidRDefault="00A728D3" w:rsidP="00A728D3">
      <w:pPr>
        <w:tabs>
          <w:tab w:val="left" w:pos="7300"/>
        </w:tabs>
        <w:ind w:firstLine="720"/>
      </w:pPr>
    </w:p>
    <w:p w:rsidR="00A728D3" w:rsidRDefault="00A728D3" w:rsidP="00A728D3"/>
    <w:p w:rsidR="00A728D3" w:rsidRDefault="00A728D3" w:rsidP="00A728D3"/>
    <w:p w:rsidR="00DE7653" w:rsidRDefault="00DE7653"/>
    <w:sectPr w:rsidR="00DE7653" w:rsidSect="005A46B2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E7" w:rsidRDefault="008230E7" w:rsidP="00441A06">
      <w:r>
        <w:separator/>
      </w:r>
    </w:p>
  </w:endnote>
  <w:endnote w:type="continuationSeparator" w:id="1">
    <w:p w:rsidR="008230E7" w:rsidRDefault="008230E7" w:rsidP="0044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4C" w:rsidRDefault="0009000D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E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64C" w:rsidRDefault="000445C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64C" w:rsidRDefault="0009000D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E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2E9">
      <w:rPr>
        <w:rStyle w:val="a5"/>
        <w:noProof/>
      </w:rPr>
      <w:t>6</w:t>
    </w:r>
    <w:r>
      <w:rPr>
        <w:rStyle w:val="a5"/>
      </w:rPr>
      <w:fldChar w:fldCharType="end"/>
    </w:r>
  </w:p>
  <w:p w:rsidR="00F5664C" w:rsidRDefault="000445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E7" w:rsidRDefault="008230E7" w:rsidP="00441A06">
      <w:r>
        <w:separator/>
      </w:r>
    </w:p>
  </w:footnote>
  <w:footnote w:type="continuationSeparator" w:id="1">
    <w:p w:rsidR="008230E7" w:rsidRDefault="008230E7" w:rsidP="00441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7E9"/>
    <w:multiLevelType w:val="hybridMultilevel"/>
    <w:tmpl w:val="4198BBD2"/>
    <w:lvl w:ilvl="0" w:tplc="D7488D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4A7D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CE159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1A61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D495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E6BC5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5422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AA0E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16C9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8D3"/>
    <w:rsid w:val="0009000D"/>
    <w:rsid w:val="00155971"/>
    <w:rsid w:val="002445AD"/>
    <w:rsid w:val="00262379"/>
    <w:rsid w:val="00266C7C"/>
    <w:rsid w:val="00356FD2"/>
    <w:rsid w:val="003E0159"/>
    <w:rsid w:val="00441A06"/>
    <w:rsid w:val="00442E99"/>
    <w:rsid w:val="00467211"/>
    <w:rsid w:val="00481460"/>
    <w:rsid w:val="004C6A19"/>
    <w:rsid w:val="0059749B"/>
    <w:rsid w:val="005F50C1"/>
    <w:rsid w:val="00646ECC"/>
    <w:rsid w:val="006B294E"/>
    <w:rsid w:val="006B5F99"/>
    <w:rsid w:val="00727FAB"/>
    <w:rsid w:val="007F5064"/>
    <w:rsid w:val="008230E7"/>
    <w:rsid w:val="008306B9"/>
    <w:rsid w:val="00892972"/>
    <w:rsid w:val="00897527"/>
    <w:rsid w:val="009606DD"/>
    <w:rsid w:val="009C0C40"/>
    <w:rsid w:val="00A00195"/>
    <w:rsid w:val="00A16FC5"/>
    <w:rsid w:val="00A728D3"/>
    <w:rsid w:val="00AC21CF"/>
    <w:rsid w:val="00AE47E3"/>
    <w:rsid w:val="00B962E9"/>
    <w:rsid w:val="00C234C2"/>
    <w:rsid w:val="00C43598"/>
    <w:rsid w:val="00C44A9A"/>
    <w:rsid w:val="00CD6A99"/>
    <w:rsid w:val="00D14A54"/>
    <w:rsid w:val="00D37937"/>
    <w:rsid w:val="00D42E04"/>
    <w:rsid w:val="00D66F09"/>
    <w:rsid w:val="00DB0313"/>
    <w:rsid w:val="00DE7653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28D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A728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28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rsid w:val="00A728D3"/>
    <w:rPr>
      <w:rFonts w:cs="Times New Roman"/>
    </w:rPr>
  </w:style>
  <w:style w:type="paragraph" w:styleId="a6">
    <w:name w:val="List Paragraph"/>
    <w:basedOn w:val="a"/>
    <w:uiPriority w:val="99"/>
    <w:qFormat/>
    <w:rsid w:val="00A72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2372-ACFF-4AE6-A464-E7C18729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2020-03-13T12:20:00Z</dcterms:created>
  <dcterms:modified xsi:type="dcterms:W3CDTF">2020-03-13T12:20:00Z</dcterms:modified>
</cp:coreProperties>
</file>