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8" w:rsidRPr="00956208" w:rsidRDefault="003949B8" w:rsidP="003949B8">
      <w:pPr>
        <w:jc w:val="center"/>
        <w:rPr>
          <w:b/>
          <w:caps/>
          <w:sz w:val="28"/>
          <w:szCs w:val="28"/>
        </w:rPr>
      </w:pPr>
      <w:r w:rsidRPr="00956208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:rsidR="003949B8" w:rsidRPr="00C4041B" w:rsidRDefault="003949B8" w:rsidP="003949B8">
      <w:pPr>
        <w:jc w:val="center"/>
        <w:rPr>
          <w:b/>
          <w:caps/>
          <w:sz w:val="28"/>
          <w:szCs w:val="28"/>
        </w:rPr>
      </w:pPr>
      <w:r w:rsidRPr="00C4041B">
        <w:rPr>
          <w:b/>
          <w:caps/>
          <w:sz w:val="28"/>
          <w:szCs w:val="28"/>
        </w:rPr>
        <w:t>Учреждение образования</w:t>
      </w:r>
    </w:p>
    <w:p w:rsidR="003949B8" w:rsidRDefault="003949B8" w:rsidP="00394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«ВИТЕБСКИЙ ГОСУДАРСТВЕННЫЙ МЕДИЦИНСКИЙ УНИВЕРСИТЕТ»</w:t>
      </w:r>
    </w:p>
    <w:p w:rsidR="003949B8" w:rsidRDefault="003949B8" w:rsidP="003949B8">
      <w:pPr>
        <w:jc w:val="center"/>
      </w:pPr>
      <w:r w:rsidRPr="00C4041B">
        <w:rPr>
          <w:u w:val="single"/>
        </w:rPr>
        <w:t xml:space="preserve">КАФЕДРА </w:t>
      </w:r>
      <w:r>
        <w:rPr>
          <w:u w:val="single"/>
        </w:rPr>
        <w:t>ПРОМЫШЛЕННОЙ ТЕХНОЛОГИИ ЛЕКАРСТВЕННЫХ СРЕДСТВ С КУРСОМ ФПК И ПК</w:t>
      </w:r>
    </w:p>
    <w:p w:rsidR="003949B8" w:rsidRDefault="003949B8" w:rsidP="003949B8">
      <w:pPr>
        <w:jc w:val="center"/>
      </w:pPr>
    </w:p>
    <w:p w:rsidR="003949B8" w:rsidRDefault="003949B8" w:rsidP="003949B8">
      <w:pPr>
        <w:jc w:val="center"/>
      </w:pPr>
    </w:p>
    <w:p w:rsidR="003949B8" w:rsidRDefault="003949B8" w:rsidP="003949B8">
      <w:pPr>
        <w:jc w:val="center"/>
      </w:pPr>
    </w:p>
    <w:p w:rsidR="003949B8" w:rsidRPr="00672149" w:rsidRDefault="003949B8" w:rsidP="003949B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u w:val="single"/>
        </w:rPr>
        <w:t>Промышленной технологии лекарственных сре</w:t>
      </w:r>
      <w:proofErr w:type="gramStart"/>
      <w:r>
        <w:rPr>
          <w:sz w:val="28"/>
          <w:szCs w:val="28"/>
          <w:u w:val="single"/>
        </w:rPr>
        <w:t>дств с к</w:t>
      </w:r>
      <w:proofErr w:type="gramEnd"/>
      <w:r>
        <w:rPr>
          <w:sz w:val="28"/>
          <w:szCs w:val="28"/>
          <w:u w:val="single"/>
        </w:rPr>
        <w:t>урсом ФПК и ПК</w:t>
      </w:r>
    </w:p>
    <w:p w:rsidR="003949B8" w:rsidRDefault="003949B8" w:rsidP="003949B8">
      <w:pPr>
        <w:jc w:val="center"/>
        <w:rPr>
          <w:sz w:val="28"/>
          <w:szCs w:val="28"/>
        </w:rPr>
      </w:pPr>
    </w:p>
    <w:p w:rsidR="003949B8" w:rsidRDefault="003949B8" w:rsidP="003949B8">
      <w:pPr>
        <w:jc w:val="center"/>
        <w:rPr>
          <w:sz w:val="28"/>
          <w:szCs w:val="28"/>
        </w:rPr>
      </w:pPr>
    </w:p>
    <w:p w:rsidR="003949B8" w:rsidRDefault="003949B8" w:rsidP="003949B8">
      <w:pPr>
        <w:jc w:val="center"/>
        <w:rPr>
          <w:sz w:val="28"/>
          <w:szCs w:val="28"/>
        </w:rPr>
      </w:pPr>
    </w:p>
    <w:p w:rsidR="003949B8" w:rsidRDefault="003949B8" w:rsidP="003949B8">
      <w:pPr>
        <w:jc w:val="center"/>
        <w:rPr>
          <w:sz w:val="28"/>
          <w:szCs w:val="28"/>
        </w:rPr>
      </w:pPr>
    </w:p>
    <w:p w:rsidR="003949B8" w:rsidRDefault="003949B8" w:rsidP="003949B8">
      <w:pPr>
        <w:jc w:val="center"/>
        <w:rPr>
          <w:sz w:val="28"/>
          <w:szCs w:val="28"/>
        </w:rPr>
      </w:pPr>
    </w:p>
    <w:p w:rsidR="003949B8" w:rsidRDefault="003949B8" w:rsidP="003949B8">
      <w:pPr>
        <w:jc w:val="center"/>
        <w:rPr>
          <w:sz w:val="28"/>
          <w:szCs w:val="28"/>
        </w:rPr>
      </w:pPr>
    </w:p>
    <w:p w:rsidR="003949B8" w:rsidRPr="00672149" w:rsidRDefault="003949B8" w:rsidP="003949B8">
      <w:pPr>
        <w:jc w:val="center"/>
        <w:rPr>
          <w:b/>
          <w:sz w:val="28"/>
          <w:szCs w:val="28"/>
        </w:rPr>
      </w:pPr>
      <w:r w:rsidRPr="00672149">
        <w:rPr>
          <w:b/>
          <w:sz w:val="28"/>
          <w:szCs w:val="28"/>
        </w:rPr>
        <w:t>МЕТОДИЧЕСКИЕ УКАЗАНИЯ ПО ОРГАНИЗАЦИИ САМОСТОЯТЕЛЬНОЙ РАБОТЫ СТУДЕНТОВ</w:t>
      </w:r>
    </w:p>
    <w:p w:rsidR="003949B8" w:rsidRDefault="003949B8" w:rsidP="003949B8">
      <w:pPr>
        <w:jc w:val="center"/>
        <w:rPr>
          <w:sz w:val="28"/>
          <w:szCs w:val="28"/>
        </w:rPr>
      </w:pPr>
    </w:p>
    <w:p w:rsidR="003949B8" w:rsidRDefault="003949B8" w:rsidP="003949B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дисциплине </w:t>
      </w:r>
      <w:r>
        <w:rPr>
          <w:sz w:val="28"/>
          <w:szCs w:val="28"/>
          <w:u w:val="single"/>
        </w:rPr>
        <w:t>промышленная технология лекарственных средств</w:t>
      </w:r>
    </w:p>
    <w:p w:rsidR="003949B8" w:rsidRPr="009776A2" w:rsidRDefault="003949B8" w:rsidP="003949B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  <w:u w:val="single"/>
        </w:rPr>
        <w:t>фармация</w:t>
      </w:r>
    </w:p>
    <w:p w:rsidR="003949B8" w:rsidRDefault="003949B8" w:rsidP="003949B8">
      <w:pPr>
        <w:jc w:val="center"/>
        <w:rPr>
          <w:sz w:val="28"/>
          <w:szCs w:val="28"/>
        </w:rPr>
      </w:pPr>
    </w:p>
    <w:p w:rsidR="003949B8" w:rsidRDefault="003949B8" w:rsidP="003949B8">
      <w:pPr>
        <w:jc w:val="center"/>
        <w:rPr>
          <w:sz w:val="28"/>
          <w:szCs w:val="28"/>
        </w:rPr>
      </w:pPr>
    </w:p>
    <w:p w:rsidR="003949B8" w:rsidRDefault="003949B8" w:rsidP="003949B8">
      <w:pPr>
        <w:jc w:val="center"/>
        <w:rPr>
          <w:sz w:val="28"/>
          <w:szCs w:val="28"/>
        </w:rPr>
      </w:pPr>
    </w:p>
    <w:p w:rsidR="003949B8" w:rsidRPr="001F413F" w:rsidRDefault="003949B8" w:rsidP="003949B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b/>
          <w:sz w:val="28"/>
          <w:szCs w:val="28"/>
        </w:rPr>
        <w:t>Упаковка, маркировка, хранение жидких лекарственных сре</w:t>
      </w:r>
      <w:proofErr w:type="gramStart"/>
      <w:r>
        <w:rPr>
          <w:b/>
          <w:sz w:val="28"/>
          <w:szCs w:val="28"/>
        </w:rPr>
        <w:t>дств дл</w:t>
      </w:r>
      <w:proofErr w:type="gramEnd"/>
      <w:r>
        <w:rPr>
          <w:b/>
          <w:sz w:val="28"/>
          <w:szCs w:val="28"/>
        </w:rPr>
        <w:t>я внутреннего применения</w:t>
      </w:r>
      <w:r w:rsidRPr="001F413F">
        <w:rPr>
          <w:b/>
          <w:sz w:val="32"/>
          <w:szCs w:val="32"/>
        </w:rPr>
        <w:t>.</w:t>
      </w:r>
    </w:p>
    <w:p w:rsidR="003949B8" w:rsidRDefault="003949B8" w:rsidP="003949B8">
      <w:pPr>
        <w:rPr>
          <w:sz w:val="28"/>
          <w:szCs w:val="28"/>
        </w:rPr>
      </w:pPr>
    </w:p>
    <w:p w:rsidR="003949B8" w:rsidRDefault="003949B8" w:rsidP="003949B8">
      <w:pPr>
        <w:jc w:val="center"/>
        <w:rPr>
          <w:sz w:val="28"/>
          <w:szCs w:val="28"/>
        </w:rPr>
      </w:pPr>
    </w:p>
    <w:p w:rsidR="003949B8" w:rsidRDefault="003949B8" w:rsidP="003949B8">
      <w:pPr>
        <w:jc w:val="center"/>
        <w:rPr>
          <w:sz w:val="28"/>
          <w:szCs w:val="28"/>
        </w:rPr>
      </w:pPr>
    </w:p>
    <w:p w:rsidR="003949B8" w:rsidRDefault="003949B8" w:rsidP="003949B8">
      <w:pPr>
        <w:jc w:val="center"/>
        <w:rPr>
          <w:sz w:val="28"/>
          <w:szCs w:val="28"/>
        </w:rPr>
      </w:pPr>
    </w:p>
    <w:p w:rsidR="003949B8" w:rsidRDefault="003949B8" w:rsidP="003949B8">
      <w:pPr>
        <w:jc w:val="center"/>
        <w:rPr>
          <w:sz w:val="28"/>
          <w:szCs w:val="28"/>
        </w:rPr>
      </w:pPr>
    </w:p>
    <w:p w:rsidR="003949B8" w:rsidRDefault="003949B8" w:rsidP="003949B8">
      <w:pPr>
        <w:jc w:val="center"/>
        <w:rPr>
          <w:sz w:val="28"/>
          <w:szCs w:val="28"/>
        </w:rPr>
      </w:pPr>
    </w:p>
    <w:p w:rsidR="003949B8" w:rsidRDefault="003949B8" w:rsidP="003949B8">
      <w:pPr>
        <w:jc w:val="center"/>
        <w:rPr>
          <w:sz w:val="28"/>
          <w:szCs w:val="28"/>
        </w:rPr>
      </w:pPr>
    </w:p>
    <w:p w:rsidR="003949B8" w:rsidRPr="00C4041B" w:rsidRDefault="003949B8" w:rsidP="003949B8">
      <w:pPr>
        <w:jc w:val="center"/>
        <w:rPr>
          <w:sz w:val="28"/>
          <w:szCs w:val="28"/>
        </w:rPr>
      </w:pPr>
    </w:p>
    <w:p w:rsidR="003949B8" w:rsidRPr="00C4041B" w:rsidRDefault="003949B8" w:rsidP="003949B8">
      <w:pPr>
        <w:jc w:val="center"/>
        <w:rPr>
          <w:sz w:val="28"/>
          <w:szCs w:val="28"/>
        </w:rPr>
      </w:pPr>
    </w:p>
    <w:p w:rsidR="003949B8" w:rsidRDefault="003949B8" w:rsidP="003949B8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Витебск – 2020</w:t>
      </w:r>
    </w:p>
    <w:p w:rsidR="003949B8" w:rsidRPr="0058556C" w:rsidRDefault="003949B8" w:rsidP="003949B8">
      <w:pPr>
        <w:jc w:val="center"/>
        <w:rPr>
          <w:b/>
        </w:rPr>
      </w:pPr>
      <w:r>
        <w:rPr>
          <w:sz w:val="28"/>
          <w:szCs w:val="28"/>
        </w:rPr>
        <w:br w:type="page"/>
      </w:r>
      <w:r w:rsidRPr="0058556C">
        <w:rPr>
          <w:b/>
        </w:rPr>
        <w:lastRenderedPageBreak/>
        <w:t xml:space="preserve">1. </w:t>
      </w:r>
      <w:r>
        <w:rPr>
          <w:b/>
        </w:rPr>
        <w:t>Содержание и цели выполнения работы</w:t>
      </w:r>
      <w:r w:rsidRPr="0058556C">
        <w:rPr>
          <w:b/>
        </w:rPr>
        <w:t>.</w:t>
      </w:r>
    </w:p>
    <w:p w:rsidR="003949B8" w:rsidRDefault="003949B8" w:rsidP="003949B8">
      <w:pPr>
        <w:ind w:firstLine="540"/>
        <w:jc w:val="both"/>
      </w:pPr>
    </w:p>
    <w:p w:rsidR="003949B8" w:rsidRDefault="003949B8" w:rsidP="003949B8">
      <w:pPr>
        <w:ind w:firstLine="540"/>
        <w:jc w:val="both"/>
      </w:pPr>
      <w:r w:rsidRPr="00356F69">
        <w:rPr>
          <w:b/>
        </w:rPr>
        <w:t>Цель:</w:t>
      </w:r>
      <w:r>
        <w:t xml:space="preserve"> студент в ходе самостоятельной работы должен освоить теоретический материал по вопросам упаковки, маркировки и хранения жидких лекарственных сре</w:t>
      </w:r>
      <w:proofErr w:type="gramStart"/>
      <w:r>
        <w:t>дств дл</w:t>
      </w:r>
      <w:proofErr w:type="gramEnd"/>
      <w:r>
        <w:t>я внутреннего применения. Особое внимание уделить вопросам требований к материалам первичной упаковки (контейнеров) в соответствие с Государственной фармакопеей Республики Беларусь.</w:t>
      </w:r>
    </w:p>
    <w:p w:rsidR="003949B8" w:rsidRPr="006F33E4" w:rsidRDefault="003949B8" w:rsidP="003949B8">
      <w:pPr>
        <w:ind w:firstLine="540"/>
        <w:jc w:val="both"/>
      </w:pPr>
      <w:r w:rsidRPr="00356F69">
        <w:rPr>
          <w:b/>
        </w:rPr>
        <w:t>Основными задачами</w:t>
      </w:r>
      <w:r>
        <w:t xml:space="preserve"> в реализации самостоятельной работы студента является: систематизация и закрепление полученных теоретических знаний и практических умений студента; формирование умений использовать нормативные правовые акты, справочную документацию, а именно Государственную фармакопею Республики Беларусь для решения профессиональных задач.</w:t>
      </w:r>
    </w:p>
    <w:p w:rsidR="003949B8" w:rsidRDefault="003949B8" w:rsidP="003949B8">
      <w:pPr>
        <w:jc w:val="center"/>
        <w:rPr>
          <w:b/>
        </w:rPr>
      </w:pPr>
    </w:p>
    <w:p w:rsidR="003949B8" w:rsidRDefault="003949B8" w:rsidP="003949B8">
      <w:pPr>
        <w:jc w:val="center"/>
        <w:rPr>
          <w:b/>
        </w:rPr>
      </w:pPr>
      <w:r w:rsidRPr="0058556C">
        <w:rPr>
          <w:b/>
        </w:rPr>
        <w:t xml:space="preserve">2. </w:t>
      </w:r>
      <w:r>
        <w:rPr>
          <w:b/>
        </w:rPr>
        <w:t>Исходная информация</w:t>
      </w:r>
      <w:r w:rsidRPr="0058556C">
        <w:rPr>
          <w:b/>
        </w:rPr>
        <w:t>.</w:t>
      </w:r>
    </w:p>
    <w:p w:rsidR="003949B8" w:rsidRDefault="003949B8" w:rsidP="003949B8">
      <w:pPr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4536"/>
        <w:gridCol w:w="1572"/>
        <w:gridCol w:w="1812"/>
      </w:tblGrid>
      <w:tr w:rsidR="003949B8" w:rsidTr="00F607AE">
        <w:tc>
          <w:tcPr>
            <w:tcW w:w="2268" w:type="dxa"/>
            <w:vAlign w:val="center"/>
          </w:tcPr>
          <w:p w:rsidR="003949B8" w:rsidRDefault="003949B8" w:rsidP="00F607AE">
            <w:pPr>
              <w:jc w:val="center"/>
              <w:rPr>
                <w:b/>
              </w:rPr>
            </w:pPr>
            <w:r>
              <w:rPr>
                <w:b/>
              </w:rPr>
              <w:t>Лекция, практическое (лабораторное, клиническое) занятие</w:t>
            </w:r>
          </w:p>
        </w:tc>
        <w:tc>
          <w:tcPr>
            <w:tcW w:w="4536" w:type="dxa"/>
            <w:vAlign w:val="center"/>
          </w:tcPr>
          <w:p w:rsidR="003949B8" w:rsidRDefault="003949B8" w:rsidP="00F607AE">
            <w:pPr>
              <w:jc w:val="center"/>
              <w:rPr>
                <w:b/>
              </w:rPr>
            </w:pPr>
            <w:r>
              <w:rPr>
                <w:b/>
              </w:rPr>
              <w:t>Тема, вопросы</w:t>
            </w:r>
          </w:p>
        </w:tc>
        <w:tc>
          <w:tcPr>
            <w:tcW w:w="1572" w:type="dxa"/>
            <w:vAlign w:val="center"/>
          </w:tcPr>
          <w:p w:rsidR="003949B8" w:rsidRDefault="003949B8" w:rsidP="00F607A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К-во</w:t>
            </w:r>
            <w:proofErr w:type="spellEnd"/>
            <w:proofErr w:type="gramEnd"/>
            <w:r>
              <w:rPr>
                <w:b/>
              </w:rPr>
              <w:t xml:space="preserve"> часов</w:t>
            </w:r>
          </w:p>
        </w:tc>
        <w:tc>
          <w:tcPr>
            <w:tcW w:w="1812" w:type="dxa"/>
            <w:vAlign w:val="center"/>
          </w:tcPr>
          <w:p w:rsidR="003949B8" w:rsidRDefault="003949B8" w:rsidP="00F607AE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3949B8" w:rsidTr="00F607AE">
        <w:trPr>
          <w:trHeight w:val="1203"/>
        </w:trPr>
        <w:tc>
          <w:tcPr>
            <w:tcW w:w="2268" w:type="dxa"/>
          </w:tcPr>
          <w:p w:rsidR="003949B8" w:rsidRPr="00356F69" w:rsidRDefault="003949B8" w:rsidP="00F607AE">
            <w:pPr>
              <w:jc w:val="center"/>
              <w:rPr>
                <w:szCs w:val="24"/>
              </w:rPr>
            </w:pPr>
            <w:r w:rsidRPr="00356F69">
              <w:rPr>
                <w:szCs w:val="24"/>
              </w:rPr>
              <w:t>лекция</w:t>
            </w:r>
          </w:p>
        </w:tc>
        <w:tc>
          <w:tcPr>
            <w:tcW w:w="4536" w:type="dxa"/>
          </w:tcPr>
          <w:p w:rsidR="003949B8" w:rsidRPr="003949B8" w:rsidRDefault="003949B8" w:rsidP="003949B8">
            <w:pPr>
              <w:jc w:val="center"/>
              <w:rPr>
                <w:szCs w:val="24"/>
              </w:rPr>
            </w:pPr>
            <w:r w:rsidRPr="003949B8">
              <w:rPr>
                <w:szCs w:val="24"/>
              </w:rPr>
              <w:t>Упаковка, маркировка, хранение жидких лекарственных сре</w:t>
            </w:r>
            <w:proofErr w:type="gramStart"/>
            <w:r w:rsidRPr="003949B8">
              <w:rPr>
                <w:szCs w:val="24"/>
              </w:rPr>
              <w:t>дств дл</w:t>
            </w:r>
            <w:proofErr w:type="gramEnd"/>
            <w:r w:rsidRPr="003949B8">
              <w:rPr>
                <w:szCs w:val="24"/>
              </w:rPr>
              <w:t>я внутреннего применения.</w:t>
            </w:r>
          </w:p>
          <w:p w:rsidR="003949B8" w:rsidRPr="00356F69" w:rsidRDefault="003949B8" w:rsidP="003949B8">
            <w:pPr>
              <w:jc w:val="both"/>
              <w:rPr>
                <w:szCs w:val="24"/>
              </w:rPr>
            </w:pPr>
          </w:p>
        </w:tc>
        <w:tc>
          <w:tcPr>
            <w:tcW w:w="1572" w:type="dxa"/>
          </w:tcPr>
          <w:p w:rsidR="003949B8" w:rsidRPr="00356F69" w:rsidRDefault="003949B8" w:rsidP="00F607AE">
            <w:pPr>
              <w:jc w:val="center"/>
              <w:rPr>
                <w:szCs w:val="24"/>
              </w:rPr>
            </w:pPr>
            <w:r w:rsidRPr="00356F69">
              <w:rPr>
                <w:szCs w:val="24"/>
              </w:rPr>
              <w:t>0,67 часа</w:t>
            </w:r>
          </w:p>
        </w:tc>
        <w:tc>
          <w:tcPr>
            <w:tcW w:w="1812" w:type="dxa"/>
          </w:tcPr>
          <w:p w:rsidR="003949B8" w:rsidRPr="00356F69" w:rsidRDefault="003949B8" w:rsidP="00F607AE">
            <w:pPr>
              <w:pStyle w:val="1"/>
              <w:rPr>
                <w:sz w:val="24"/>
                <w:szCs w:val="24"/>
              </w:rPr>
            </w:pPr>
            <w:r w:rsidRPr="00356F69">
              <w:rPr>
                <w:sz w:val="24"/>
                <w:szCs w:val="24"/>
              </w:rPr>
              <w:t>Вопрос</w:t>
            </w:r>
            <w:r>
              <w:rPr>
                <w:sz w:val="24"/>
                <w:szCs w:val="24"/>
              </w:rPr>
              <w:t xml:space="preserve"> (ситуационная задача) </w:t>
            </w:r>
            <w:r w:rsidRPr="00356F69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лабораторном занятии.</w:t>
            </w:r>
          </w:p>
        </w:tc>
      </w:tr>
    </w:tbl>
    <w:p w:rsidR="003949B8" w:rsidRPr="009D14A4" w:rsidRDefault="003949B8" w:rsidP="003949B8">
      <w:pPr>
        <w:jc w:val="center"/>
      </w:pPr>
    </w:p>
    <w:p w:rsidR="003949B8" w:rsidRDefault="003949B8" w:rsidP="003949B8">
      <w:pPr>
        <w:ind w:firstLine="709"/>
        <w:jc w:val="both"/>
        <w:rPr>
          <w:szCs w:val="24"/>
        </w:rPr>
      </w:pPr>
      <w:r>
        <w:rPr>
          <w:szCs w:val="24"/>
        </w:rPr>
        <w:t>Жидкие лекарственные формы (ЖЛФ) отличаются большим разнообразием форм и видов контейнеров и упаковки.</w:t>
      </w:r>
    </w:p>
    <w:p w:rsidR="003949B8" w:rsidRDefault="003949B8" w:rsidP="003949B8">
      <w:pPr>
        <w:ind w:firstLine="709"/>
        <w:jc w:val="both"/>
        <w:rPr>
          <w:szCs w:val="24"/>
        </w:rPr>
      </w:pPr>
      <w:r>
        <w:rPr>
          <w:szCs w:val="24"/>
        </w:rPr>
        <w:t>Для ЖЛФ для внутреннего применения в качестве контейнеров используются флаконы из стекломассы с винтовой горловиной</w:t>
      </w:r>
      <w:r w:rsidR="001E4ED2">
        <w:rPr>
          <w:szCs w:val="24"/>
        </w:rPr>
        <w:t>. Укупорочное средство для таких флаконов представляет собой навинчиваемые пластмассовые или алюминиевые крышки с пластмассовой пробкой. Может использоваться бутылка для пищевых жидкостей с металлической навинчиваемой крышкой с пластмассовой пробкой.</w:t>
      </w:r>
    </w:p>
    <w:p w:rsidR="001E4ED2" w:rsidRDefault="001E4ED2" w:rsidP="003949B8">
      <w:pPr>
        <w:ind w:firstLine="709"/>
        <w:jc w:val="both"/>
        <w:rPr>
          <w:szCs w:val="24"/>
        </w:rPr>
      </w:pPr>
      <w:r>
        <w:rPr>
          <w:szCs w:val="24"/>
        </w:rPr>
        <w:t>Для герметичной упаковки ЖЛФ применяется полимерный контейнер с насадкой К</w:t>
      </w:r>
      <w:proofErr w:type="gramStart"/>
      <w:r>
        <w:rPr>
          <w:szCs w:val="24"/>
        </w:rPr>
        <w:t>2</w:t>
      </w:r>
      <w:proofErr w:type="gramEnd"/>
      <w:r>
        <w:rPr>
          <w:szCs w:val="24"/>
        </w:rPr>
        <w:t xml:space="preserve"> номинальной вместимостью 115 мл. </w:t>
      </w:r>
      <w:r w:rsidR="00030951">
        <w:rPr>
          <w:szCs w:val="24"/>
        </w:rPr>
        <w:t>К</w:t>
      </w:r>
      <w:r>
        <w:rPr>
          <w:szCs w:val="24"/>
        </w:rPr>
        <w:t xml:space="preserve">онтейнер </w:t>
      </w:r>
      <w:r w:rsidR="00E51AA4">
        <w:rPr>
          <w:szCs w:val="24"/>
        </w:rPr>
        <w:t>комплектуется колпачком и насадкой для направленного введения лекарственного средства.</w:t>
      </w:r>
    </w:p>
    <w:p w:rsidR="00E51AA4" w:rsidRDefault="00E51AA4" w:rsidP="003949B8">
      <w:pPr>
        <w:ind w:firstLine="709"/>
        <w:jc w:val="both"/>
        <w:rPr>
          <w:szCs w:val="24"/>
        </w:rPr>
      </w:pPr>
      <w:r>
        <w:rPr>
          <w:szCs w:val="24"/>
        </w:rPr>
        <w:t>Для упаковки ЖЛФ часто используются банки винтовые полимерные с контролем первого вскрытия (БВП и БВП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) вместимостью 100, 115, 125 мл, а также флаконы полимерные винтовые с контролем первого вскрытия (ФВП и ФВП1) вместимостью от 10 до 250 мл, которые могут использоваться и для сыпучих лекарственных средств.</w:t>
      </w:r>
    </w:p>
    <w:p w:rsidR="00E51AA4" w:rsidRDefault="00E51AA4" w:rsidP="003949B8">
      <w:pPr>
        <w:ind w:firstLine="709"/>
        <w:jc w:val="both"/>
        <w:rPr>
          <w:szCs w:val="24"/>
        </w:rPr>
      </w:pPr>
      <w:r>
        <w:rPr>
          <w:szCs w:val="24"/>
        </w:rPr>
        <w:t xml:space="preserve">Банки и флаконы комплектуются </w:t>
      </w:r>
      <w:r w:rsidR="00030951">
        <w:rPr>
          <w:szCs w:val="24"/>
        </w:rPr>
        <w:t>крышкой, обеспечивающей герметичность банок и контроль первого вскрытия. Банки БВП и флаконы ФВП имеют цилиндрическую форму корпуса. Банки БВП</w:t>
      </w:r>
      <w:proofErr w:type="gramStart"/>
      <w:r w:rsidR="00030951">
        <w:rPr>
          <w:szCs w:val="24"/>
        </w:rPr>
        <w:t>1</w:t>
      </w:r>
      <w:proofErr w:type="gramEnd"/>
      <w:r w:rsidR="00030951">
        <w:rPr>
          <w:szCs w:val="24"/>
        </w:rPr>
        <w:t xml:space="preserve"> имеют прямоугольную или квадратную форму корпуса. Флаконы ФВП</w:t>
      </w:r>
      <w:proofErr w:type="gramStart"/>
      <w:r w:rsidR="00030951">
        <w:rPr>
          <w:szCs w:val="24"/>
        </w:rPr>
        <w:t>1</w:t>
      </w:r>
      <w:proofErr w:type="gramEnd"/>
      <w:r w:rsidR="00030951">
        <w:rPr>
          <w:szCs w:val="24"/>
        </w:rPr>
        <w:t xml:space="preserve"> имеют прямоугольную (плоскую) форму корпуса.</w:t>
      </w:r>
    </w:p>
    <w:p w:rsidR="00C94C47" w:rsidRDefault="00C94C47" w:rsidP="003949B8">
      <w:pPr>
        <w:ind w:firstLine="709"/>
        <w:jc w:val="both"/>
        <w:rPr>
          <w:szCs w:val="24"/>
        </w:rPr>
      </w:pPr>
      <w:r>
        <w:rPr>
          <w:szCs w:val="24"/>
        </w:rPr>
        <w:t xml:space="preserve">Для дозирования ЖЛФ в стеклянные флаконы применяют различные способы, выбор которых зависит от заданных условий проведения процесса дозировки, наполнения и от свойств жидкости. ЖЛФ с небольшим коэффициентом вязкости можно дозировать и по объему, и по уровню наполнения. Для фасовки жидкостей используют автоматы с дозаторами. Фасовочно-дозировочные машины классифицируют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роторные и линейные</w:t>
      </w:r>
      <w:r w:rsidR="00F55833">
        <w:rPr>
          <w:szCs w:val="24"/>
        </w:rPr>
        <w:t xml:space="preserve">. Большинство современных машин для фасовки жидкостей относятся к машинам роторного типа. Они состоят из следующих узлов: станины с расположенными на ней устройствами; </w:t>
      </w:r>
      <w:r w:rsidR="00F31886">
        <w:rPr>
          <w:szCs w:val="24"/>
        </w:rPr>
        <w:t xml:space="preserve">вращающего бака для приема жидкости с различными приборами или дозирующими устройствами и поплавковой системой, поддерживающей при дозировке постоянный уровень жидкости в баке; </w:t>
      </w:r>
      <w:r w:rsidR="00F31886">
        <w:rPr>
          <w:szCs w:val="24"/>
        </w:rPr>
        <w:lastRenderedPageBreak/>
        <w:t xml:space="preserve">распределительного и подающего механизма, обеспечивающего равномерную и синхронную подачу контейнеров для наполнения и удаления </w:t>
      </w:r>
      <w:r w:rsidR="00484913">
        <w:rPr>
          <w:szCs w:val="24"/>
        </w:rPr>
        <w:t>их</w:t>
      </w:r>
      <w:r w:rsidR="00F31886">
        <w:rPr>
          <w:szCs w:val="24"/>
        </w:rPr>
        <w:t xml:space="preserve"> после наполнения; вращающегося стола с подъемными столиками. Подъемные столики расположены на одной оси с дозаторами и служат для опускания и подъема контейнеров при наполнении.</w:t>
      </w:r>
    </w:p>
    <w:p w:rsidR="00484913" w:rsidRDefault="00484913" w:rsidP="003949B8">
      <w:pPr>
        <w:ind w:firstLine="709"/>
        <w:jc w:val="both"/>
        <w:rPr>
          <w:szCs w:val="24"/>
        </w:rPr>
      </w:pPr>
      <w:r>
        <w:rPr>
          <w:szCs w:val="24"/>
        </w:rPr>
        <w:t>В фармацевтической промышленности применяются несколько типов машин: универсальная фасовочная машина УФМ для жидких и вязких лекарственных средств; машина модели Ц2176 для фасовки жидких лекарственных средств; автомат модели 3061 для фасовки больших доз жидких и вязких лекарственных средств.</w:t>
      </w:r>
    </w:p>
    <w:p w:rsidR="00600EFC" w:rsidRDefault="00600EFC" w:rsidP="003949B8">
      <w:pPr>
        <w:ind w:firstLine="709"/>
        <w:jc w:val="both"/>
        <w:rPr>
          <w:szCs w:val="24"/>
        </w:rPr>
      </w:pPr>
      <w:r>
        <w:rPr>
          <w:szCs w:val="24"/>
        </w:rPr>
        <w:t>Жидкие лекарственные средства для внутреннего применения могут дозироваться каплями. Метод капельного дозирования применяется для доз, величина которых не превышает 1 мл, а для больших доз используется принцип объемного дозирования, что особенно важно при применении сильнодействующих лекарственных средств, глазных, назальных и ушных капель.</w:t>
      </w:r>
    </w:p>
    <w:p w:rsidR="00600EFC" w:rsidRDefault="00600EFC" w:rsidP="003949B8">
      <w:pPr>
        <w:ind w:firstLine="709"/>
        <w:jc w:val="both"/>
        <w:rPr>
          <w:szCs w:val="24"/>
        </w:rPr>
      </w:pPr>
      <w:r>
        <w:rPr>
          <w:szCs w:val="24"/>
        </w:rPr>
        <w:t xml:space="preserve">Известно, что вытекание жидкости из сосуда возможно </w:t>
      </w:r>
      <w:proofErr w:type="gramStart"/>
      <w:r>
        <w:rPr>
          <w:szCs w:val="24"/>
        </w:rPr>
        <w:t>при</w:t>
      </w:r>
      <w:proofErr w:type="gramEnd"/>
      <w:r>
        <w:rPr>
          <w:szCs w:val="24"/>
        </w:rPr>
        <w:t xml:space="preserve"> замени ее воздухом. Капельница должна иметь два отверстия, и необходимо соблюдение условия разности гидростатического давления во флаконе между отверстиями вытекания и прохождения воздуха. Наиболее благоприятная скорость откапывания должна не превышать двух капель в секунду.</w:t>
      </w:r>
    </w:p>
    <w:p w:rsidR="00600EFC" w:rsidRDefault="00600EFC" w:rsidP="003949B8">
      <w:pPr>
        <w:ind w:firstLine="709"/>
        <w:jc w:val="both"/>
        <w:rPr>
          <w:szCs w:val="24"/>
        </w:rPr>
      </w:pPr>
      <w:r>
        <w:rPr>
          <w:szCs w:val="24"/>
        </w:rPr>
        <w:t xml:space="preserve">Капельница с </w:t>
      </w:r>
      <w:proofErr w:type="gramStart"/>
      <w:r>
        <w:rPr>
          <w:szCs w:val="24"/>
        </w:rPr>
        <w:t>центральным</w:t>
      </w:r>
      <w:proofErr w:type="gramEnd"/>
      <w:r>
        <w:rPr>
          <w:szCs w:val="24"/>
        </w:rPr>
        <w:t xml:space="preserve"> каплеобразованием имеет </w:t>
      </w:r>
      <w:r w:rsidR="00BC7BBC">
        <w:rPr>
          <w:szCs w:val="24"/>
        </w:rPr>
        <w:t>в своей конструкции каплеобразующую трубку, отверстие для истечения жидкости и воздушный канал. Она изготовлена в виде цилиндрического корпуса с фланцем, воздушный канал расположен на внутренней стенке корпуса вдоль его цилиндра и ограничен его высотой, а жидкостный канал выполнен в трубке, отходящей от центра фланца наружу. Такая конструкция при откапывании позволяет достичь высокой точности дозирования.</w:t>
      </w:r>
    </w:p>
    <w:p w:rsidR="00BC7BBC" w:rsidRDefault="00BC7BBC" w:rsidP="003949B8">
      <w:pPr>
        <w:ind w:firstLine="709"/>
        <w:jc w:val="both"/>
        <w:rPr>
          <w:szCs w:val="24"/>
        </w:rPr>
      </w:pPr>
      <w:r>
        <w:rPr>
          <w:szCs w:val="24"/>
        </w:rPr>
        <w:t xml:space="preserve">Существуют капельницы с </w:t>
      </w:r>
      <w:proofErr w:type="gramStart"/>
      <w:r>
        <w:rPr>
          <w:szCs w:val="24"/>
        </w:rPr>
        <w:t>принудительным</w:t>
      </w:r>
      <w:proofErr w:type="gramEnd"/>
      <w:r>
        <w:rPr>
          <w:szCs w:val="24"/>
        </w:rPr>
        <w:t xml:space="preserve"> каплеобразованием. Крышка – капельница изготовлена из эластичного материала, а ее корпус легко сдавливается пальцами. При использовании обрезают конец носика и сдавливанием производят откапывание. Для обеспечения точности дозировки некоторые флаконы могут иметь градуированную пипетку с отметками количества капель.</w:t>
      </w:r>
      <w:r w:rsidR="00AA3FDD">
        <w:rPr>
          <w:szCs w:val="24"/>
        </w:rPr>
        <w:t xml:space="preserve"> Комбинированные капельницы применяют для глазных капель, флаконов с жидкими лекарственными средствами.</w:t>
      </w:r>
    </w:p>
    <w:p w:rsidR="00AA3FDD" w:rsidRDefault="00AA3FDD" w:rsidP="003949B8">
      <w:pPr>
        <w:ind w:firstLine="709"/>
        <w:jc w:val="both"/>
        <w:rPr>
          <w:szCs w:val="24"/>
        </w:rPr>
      </w:pPr>
      <w:r>
        <w:rPr>
          <w:szCs w:val="24"/>
        </w:rPr>
        <w:t>В настоящее время широкое распространение получили капли, выпускаемые в мягких полиэтиленовых флаконах. Их недостатками является сложность точного дозирования лекарственных средств, которая зависит от степени сжатия флакона: чем сильнее нажим, тем интенсивнее выделяется раствор, вплоть до появления струи. Возможность выделения раствора частыми каплями или струйно повышает риск передозировки лекарственного средства и развития побочных реакций.</w:t>
      </w:r>
    </w:p>
    <w:p w:rsidR="00AA3FDD" w:rsidRDefault="00AA3FDD" w:rsidP="003949B8">
      <w:pPr>
        <w:ind w:firstLine="709"/>
        <w:jc w:val="both"/>
        <w:rPr>
          <w:szCs w:val="24"/>
        </w:rPr>
      </w:pPr>
      <w:r>
        <w:rPr>
          <w:szCs w:val="24"/>
        </w:rPr>
        <w:t xml:space="preserve">Именно эти характеристики стали ключевыми при создании нового ассортиментного брэнда </w:t>
      </w:r>
      <w:r w:rsidRPr="005E54C3">
        <w:rPr>
          <w:b/>
          <w:szCs w:val="24"/>
        </w:rPr>
        <w:t>«удобные капли»</w:t>
      </w:r>
      <w:r>
        <w:rPr>
          <w:szCs w:val="24"/>
        </w:rPr>
        <w:t>.</w:t>
      </w:r>
      <w:r w:rsidR="005E54C3">
        <w:rPr>
          <w:szCs w:val="24"/>
        </w:rPr>
        <w:t xml:space="preserve"> Благодаря тому, что флакон имеет более жесткие стенки, выделение </w:t>
      </w:r>
      <w:r w:rsidR="00A65456">
        <w:rPr>
          <w:szCs w:val="24"/>
        </w:rPr>
        <w:t>вещества струйно или частыми каплями практически исключено, ведь для этого требуется весьма существенное усилие.</w:t>
      </w:r>
      <w:r w:rsidR="00A70E9C">
        <w:rPr>
          <w:szCs w:val="24"/>
        </w:rPr>
        <w:t xml:space="preserve"> Для получения капли достаточно просто легко нажать на дно флакона, где предусмотрено специальное углубление для пальца. К положительным характеристикам </w:t>
      </w:r>
      <w:r w:rsidR="00A70E9C" w:rsidRPr="00835098">
        <w:rPr>
          <w:b/>
          <w:szCs w:val="24"/>
        </w:rPr>
        <w:t>«удобных капель»</w:t>
      </w:r>
      <w:r w:rsidR="00A70E9C">
        <w:rPr>
          <w:szCs w:val="24"/>
        </w:rPr>
        <w:t xml:space="preserve"> относится и то, что их флаконы изготовлены из специального</w:t>
      </w:r>
      <w:r w:rsidR="00835098">
        <w:rPr>
          <w:szCs w:val="24"/>
        </w:rPr>
        <w:t xml:space="preserve"> полупрозрачного матового пластика, пропускающего гораздо меньше световых лучей, чем обычное стекло и прозрачный полиэтилен. Это обеспечивает дополнительную защиту раствора от света</w:t>
      </w:r>
      <w:proofErr w:type="gramStart"/>
      <w:r w:rsidR="00835098">
        <w:rPr>
          <w:szCs w:val="24"/>
        </w:rPr>
        <w:t>.</w:t>
      </w:r>
      <w:proofErr w:type="gramEnd"/>
      <w:r w:rsidR="00835098">
        <w:rPr>
          <w:szCs w:val="24"/>
        </w:rPr>
        <w:t xml:space="preserve"> Однако, в отличие от полностью непрозрачных емкостей, в таких флаконах хорошо определяется уровень жидкости, что позволяет пациенту контролировать количество оставшегося лекарственного средства.</w:t>
      </w:r>
      <w:r w:rsidR="008117D7">
        <w:rPr>
          <w:szCs w:val="24"/>
        </w:rPr>
        <w:t xml:space="preserve"> К преимуществу таких капель относится возможность контроля вскрытия флакона, который относится к показателям его целостности и герметичности.</w:t>
      </w:r>
    </w:p>
    <w:p w:rsidR="003949B8" w:rsidRPr="00082621" w:rsidRDefault="003949B8" w:rsidP="003949B8">
      <w:pPr>
        <w:ind w:firstLine="709"/>
        <w:jc w:val="both"/>
        <w:rPr>
          <w:szCs w:val="24"/>
        </w:rPr>
      </w:pPr>
      <w:r w:rsidRPr="00082621">
        <w:rPr>
          <w:szCs w:val="24"/>
        </w:rPr>
        <w:t xml:space="preserve">При маркировке </w:t>
      </w:r>
      <w:r w:rsidR="001E4ED2">
        <w:rPr>
          <w:szCs w:val="24"/>
        </w:rPr>
        <w:t>на контейнере</w:t>
      </w:r>
      <w:r w:rsidR="00F31886">
        <w:rPr>
          <w:szCs w:val="24"/>
        </w:rPr>
        <w:t xml:space="preserve"> и пачке указывают страну; предприятие изготовитель и его товарный </w:t>
      </w:r>
      <w:proofErr w:type="gramStart"/>
      <w:r w:rsidR="00F31886">
        <w:rPr>
          <w:szCs w:val="24"/>
        </w:rPr>
        <w:t>знак</w:t>
      </w:r>
      <w:proofErr w:type="gramEnd"/>
      <w:r w:rsidR="00F31886">
        <w:rPr>
          <w:szCs w:val="24"/>
        </w:rPr>
        <w:t xml:space="preserve"> и адрес;</w:t>
      </w:r>
      <w:r>
        <w:rPr>
          <w:szCs w:val="24"/>
        </w:rPr>
        <w:t xml:space="preserve"> название лекарствен</w:t>
      </w:r>
      <w:r w:rsidR="00F31886">
        <w:rPr>
          <w:szCs w:val="24"/>
        </w:rPr>
        <w:t>ного средства на русском языке; лекарственную форму;</w:t>
      </w:r>
      <w:r>
        <w:rPr>
          <w:szCs w:val="24"/>
        </w:rPr>
        <w:t xml:space="preserve"> концентрацию активных веществ в 1 </w:t>
      </w:r>
      <w:r w:rsidR="002E656B">
        <w:rPr>
          <w:szCs w:val="24"/>
        </w:rPr>
        <w:t>мл или 1,0 г</w:t>
      </w:r>
      <w:r w:rsidR="00F31886">
        <w:rPr>
          <w:szCs w:val="24"/>
        </w:rPr>
        <w:t xml:space="preserve">; массу содержимого упаковки; способ применения; условия хранения; тематический рисунок. Дополнительно указывают </w:t>
      </w:r>
      <w:r>
        <w:rPr>
          <w:szCs w:val="24"/>
        </w:rPr>
        <w:t xml:space="preserve"> «</w:t>
      </w:r>
      <w:r w:rsidR="00F31886">
        <w:rPr>
          <w:szCs w:val="24"/>
        </w:rPr>
        <w:t xml:space="preserve">Применять </w:t>
      </w:r>
      <w:r w:rsidR="00F31886">
        <w:rPr>
          <w:szCs w:val="24"/>
        </w:rPr>
        <w:lastRenderedPageBreak/>
        <w:t xml:space="preserve">по назначению врача» и </w:t>
      </w:r>
      <w:r>
        <w:rPr>
          <w:szCs w:val="24"/>
        </w:rPr>
        <w:t>«Хранить</w:t>
      </w:r>
      <w:r w:rsidR="00F31886">
        <w:rPr>
          <w:szCs w:val="24"/>
        </w:rPr>
        <w:t xml:space="preserve"> в недоступном для детей месте»; номер серии;</w:t>
      </w:r>
      <w:r>
        <w:rPr>
          <w:szCs w:val="24"/>
        </w:rPr>
        <w:t xml:space="preserve"> номер</w:t>
      </w:r>
      <w:r w:rsidR="00F31886">
        <w:rPr>
          <w:szCs w:val="24"/>
        </w:rPr>
        <w:t xml:space="preserve"> версии графического оформления;</w:t>
      </w:r>
      <w:r>
        <w:rPr>
          <w:szCs w:val="24"/>
        </w:rPr>
        <w:t xml:space="preserve"> срок годности. На пачке дополнительно указывают фармакод, штриховой код.</w:t>
      </w:r>
    </w:p>
    <w:p w:rsidR="003949B8" w:rsidRDefault="003949B8" w:rsidP="003949B8">
      <w:pPr>
        <w:ind w:firstLine="709"/>
        <w:jc w:val="center"/>
        <w:rPr>
          <w:b/>
        </w:rPr>
      </w:pPr>
    </w:p>
    <w:p w:rsidR="003949B8" w:rsidRDefault="003949B8" w:rsidP="003949B8">
      <w:pPr>
        <w:ind w:firstLine="709"/>
        <w:jc w:val="center"/>
        <w:rPr>
          <w:b/>
        </w:rPr>
      </w:pPr>
      <w:r>
        <w:rPr>
          <w:b/>
        </w:rPr>
        <w:t>3. Последовательность выполнения.</w:t>
      </w:r>
    </w:p>
    <w:p w:rsidR="003949B8" w:rsidRDefault="003949B8" w:rsidP="003949B8">
      <w:pPr>
        <w:ind w:firstLine="540"/>
        <w:jc w:val="both"/>
      </w:pPr>
      <w:r w:rsidRPr="00645224">
        <w:t xml:space="preserve">Студент прорабатывает самостоятельно вопросы </w:t>
      </w:r>
      <w:r>
        <w:t>упаковки, маркировки и хранения жидких лекарственных сре</w:t>
      </w:r>
      <w:proofErr w:type="gramStart"/>
      <w:r>
        <w:t>дств дл</w:t>
      </w:r>
      <w:proofErr w:type="gramEnd"/>
      <w:r>
        <w:t>я внутреннего применения. Особое внимание уделить вопросам требований к материалам первичной упаковки (контейнеров) в соответствие с Государственной фармакопеей Республики Беларусь.</w:t>
      </w:r>
    </w:p>
    <w:p w:rsidR="003949B8" w:rsidRPr="00645224" w:rsidRDefault="003949B8" w:rsidP="003949B8">
      <w:pPr>
        <w:autoSpaceDE w:val="0"/>
        <w:autoSpaceDN w:val="0"/>
        <w:adjustRightInd w:val="0"/>
        <w:ind w:firstLine="709"/>
        <w:jc w:val="both"/>
      </w:pPr>
      <w:r>
        <w:t>Для контроля освоения материала студент отвечает на вопрос (ситуационная задача) на лабораторном занятии. Контроль по теме проводится в соответствии с графиком кафедры.</w:t>
      </w:r>
    </w:p>
    <w:p w:rsidR="003949B8" w:rsidRPr="00645224" w:rsidRDefault="003949B8" w:rsidP="003949B8">
      <w:pPr>
        <w:autoSpaceDE w:val="0"/>
        <w:autoSpaceDN w:val="0"/>
        <w:adjustRightInd w:val="0"/>
        <w:ind w:firstLine="709"/>
      </w:pPr>
    </w:p>
    <w:p w:rsidR="003949B8" w:rsidRPr="00271230" w:rsidRDefault="003949B8" w:rsidP="003949B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71230">
        <w:rPr>
          <w:b/>
        </w:rPr>
        <w:t xml:space="preserve">4. </w:t>
      </w:r>
      <w:r>
        <w:rPr>
          <w:b/>
        </w:rPr>
        <w:t>Критерии оценки выполненной работы.</w:t>
      </w:r>
    </w:p>
    <w:p w:rsidR="003949B8" w:rsidRDefault="003949B8" w:rsidP="003949B8">
      <w:pPr>
        <w:tabs>
          <w:tab w:val="left" w:pos="7300"/>
        </w:tabs>
        <w:ind w:firstLine="709"/>
      </w:pPr>
      <w:r>
        <w:t>При ответе на тестовые вопросы студенту выставляется оценка в зависимости от процента правильных ответов.</w:t>
      </w:r>
    </w:p>
    <w:p w:rsidR="003949B8" w:rsidRDefault="003949B8" w:rsidP="003949B8">
      <w:pPr>
        <w:tabs>
          <w:tab w:val="left" w:pos="7300"/>
        </w:tabs>
        <w:ind w:firstLine="720"/>
      </w:pPr>
      <w:r>
        <w:t>Критерии оценки:</w:t>
      </w:r>
      <w:r w:rsidRPr="00067D20">
        <w:t xml:space="preserve"> </w:t>
      </w:r>
    </w:p>
    <w:p w:rsidR="003949B8" w:rsidRDefault="003949B8" w:rsidP="003949B8">
      <w:pPr>
        <w:tabs>
          <w:tab w:val="left" w:pos="7300"/>
        </w:tabs>
        <w:ind w:firstLine="720"/>
      </w:pPr>
      <w:r>
        <w:t>– 0 - 3 балла – неудовлетворительная оценка;</w:t>
      </w:r>
    </w:p>
    <w:p w:rsidR="003949B8" w:rsidRDefault="003949B8" w:rsidP="003949B8">
      <w:pPr>
        <w:tabs>
          <w:tab w:val="left" w:pos="7300"/>
        </w:tabs>
        <w:ind w:firstLine="720"/>
      </w:pPr>
      <w:r>
        <w:t>– 4 – 5 баллов – удовлетворительная оценка;</w:t>
      </w:r>
    </w:p>
    <w:p w:rsidR="003949B8" w:rsidRDefault="003949B8" w:rsidP="003949B8">
      <w:pPr>
        <w:tabs>
          <w:tab w:val="left" w:pos="7300"/>
        </w:tabs>
        <w:ind w:firstLine="720"/>
      </w:pPr>
      <w:r>
        <w:t>– 6 – 7 баллов – хорошо;</w:t>
      </w:r>
    </w:p>
    <w:p w:rsidR="003949B8" w:rsidRPr="009D14A4" w:rsidRDefault="003949B8" w:rsidP="003949B8">
      <w:pPr>
        <w:tabs>
          <w:tab w:val="left" w:pos="7300"/>
        </w:tabs>
        <w:ind w:firstLine="720"/>
      </w:pPr>
      <w:r>
        <w:t>– 9 – 10 баллов - отлично.</w:t>
      </w:r>
    </w:p>
    <w:p w:rsidR="003949B8" w:rsidRDefault="003949B8" w:rsidP="003949B8">
      <w:pPr>
        <w:tabs>
          <w:tab w:val="left" w:pos="7300"/>
        </w:tabs>
        <w:rPr>
          <w:b/>
        </w:rPr>
      </w:pPr>
    </w:p>
    <w:p w:rsidR="003949B8" w:rsidRDefault="003949B8" w:rsidP="003949B8">
      <w:pPr>
        <w:jc w:val="center"/>
        <w:rPr>
          <w:b/>
          <w:szCs w:val="24"/>
        </w:rPr>
      </w:pPr>
      <w:r w:rsidRPr="001E1D23">
        <w:rPr>
          <w:b/>
          <w:szCs w:val="24"/>
        </w:rPr>
        <w:t>5. Литература для самоподготовки.</w:t>
      </w:r>
    </w:p>
    <w:p w:rsidR="003949B8" w:rsidRPr="00C9107D" w:rsidRDefault="003949B8" w:rsidP="003949B8">
      <w:pPr>
        <w:shd w:val="clear" w:color="auto" w:fill="FFFFFF"/>
        <w:ind w:left="720"/>
        <w:rPr>
          <w:b/>
          <w:iCs/>
          <w:szCs w:val="24"/>
        </w:rPr>
      </w:pPr>
      <w:r w:rsidRPr="00C9107D">
        <w:rPr>
          <w:b/>
          <w:iCs/>
          <w:color w:val="000000"/>
          <w:szCs w:val="24"/>
        </w:rPr>
        <w:t>Основная</w:t>
      </w:r>
    </w:p>
    <w:p w:rsidR="003949B8" w:rsidRPr="00C9107D" w:rsidRDefault="003949B8" w:rsidP="003949B8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szCs w:val="24"/>
        </w:rPr>
      </w:pPr>
      <w:r w:rsidRPr="00C9107D">
        <w:rPr>
          <w:szCs w:val="24"/>
        </w:rPr>
        <w:t>Ищенко, В.И. Промышленная технология лекарственных средств /В.И. Ищенко. – Витебск: ВГМУ, 2003. - 567с.</w:t>
      </w:r>
    </w:p>
    <w:p w:rsidR="003949B8" w:rsidRPr="00C869BD" w:rsidRDefault="003949B8" w:rsidP="003949B8">
      <w:pPr>
        <w:pStyle w:val="a6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C869BD">
        <w:rPr>
          <w:szCs w:val="24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/О.М. Хишова – Витебск: ВГМУ, 2016. – 128с.</w:t>
      </w:r>
    </w:p>
    <w:p w:rsidR="003949B8" w:rsidRPr="00C9107D" w:rsidRDefault="003949B8" w:rsidP="003949B8">
      <w:pPr>
        <w:shd w:val="clear" w:color="auto" w:fill="FFFFFF"/>
        <w:ind w:firstLine="357"/>
        <w:rPr>
          <w:b/>
          <w:iCs/>
          <w:color w:val="000000"/>
          <w:szCs w:val="24"/>
        </w:rPr>
      </w:pPr>
      <w:r w:rsidRPr="00C9107D">
        <w:rPr>
          <w:b/>
          <w:iCs/>
          <w:color w:val="000000"/>
          <w:szCs w:val="24"/>
        </w:rPr>
        <w:t>Дополнительная</w:t>
      </w:r>
    </w:p>
    <w:p w:rsidR="003949B8" w:rsidRPr="00C9107D" w:rsidRDefault="003949B8" w:rsidP="003949B8">
      <w:pPr>
        <w:numPr>
          <w:ilvl w:val="0"/>
          <w:numId w:val="2"/>
        </w:numPr>
        <w:tabs>
          <w:tab w:val="num" w:pos="360"/>
        </w:tabs>
        <w:ind w:left="0" w:firstLine="357"/>
        <w:jc w:val="both"/>
        <w:rPr>
          <w:color w:val="000000"/>
          <w:szCs w:val="24"/>
        </w:rPr>
      </w:pPr>
      <w:r w:rsidRPr="00C9107D">
        <w:rPr>
          <w:color w:val="000000"/>
          <w:szCs w:val="24"/>
        </w:rPr>
        <w:t xml:space="preserve">Государственная фармакопея Республики Беларусь. (ГФ РБ </w:t>
      </w:r>
      <w:r w:rsidRPr="00C9107D">
        <w:rPr>
          <w:color w:val="000000"/>
          <w:szCs w:val="24"/>
          <w:lang w:val="en-US"/>
        </w:rPr>
        <w:t>II</w:t>
      </w:r>
      <w:r w:rsidRPr="00C9107D">
        <w:rPr>
          <w:color w:val="000000"/>
          <w:szCs w:val="24"/>
        </w:rPr>
        <w:t xml:space="preserve">): </w:t>
      </w:r>
      <w:proofErr w:type="gramStart"/>
      <w:r w:rsidRPr="00C9107D">
        <w:rPr>
          <w:color w:val="000000"/>
          <w:szCs w:val="24"/>
        </w:rPr>
        <w:t>Разработана</w:t>
      </w:r>
      <w:proofErr w:type="gramEnd"/>
      <w:r w:rsidRPr="00C9107D">
        <w:rPr>
          <w:color w:val="000000"/>
          <w:szCs w:val="24"/>
        </w:rPr>
        <w:t xml:space="preserve"> на основе Европейской фармакопеи. В 2 т. Т.1 Общие методы контроля лекарственных средств/</w:t>
      </w:r>
      <w:proofErr w:type="spellStart"/>
      <w:r w:rsidRPr="00C9107D">
        <w:rPr>
          <w:color w:val="000000"/>
          <w:szCs w:val="24"/>
        </w:rPr>
        <w:t>М-во</w:t>
      </w:r>
      <w:proofErr w:type="spellEnd"/>
      <w:r w:rsidRPr="00C9107D">
        <w:rPr>
          <w:color w:val="000000"/>
          <w:szCs w:val="24"/>
        </w:rPr>
        <w:t xml:space="preserve"> здравоохранения Республики Беларусь, УП «Центр экспертиз и испытаний в здравоохранении»: </w:t>
      </w:r>
      <w:proofErr w:type="gramStart"/>
      <w:r w:rsidRPr="00C9107D">
        <w:rPr>
          <w:color w:val="000000"/>
          <w:szCs w:val="24"/>
        </w:rPr>
        <w:t>под</w:t>
      </w:r>
      <w:proofErr w:type="gramEnd"/>
      <w:r w:rsidRPr="00C9107D">
        <w:rPr>
          <w:color w:val="000000"/>
          <w:szCs w:val="24"/>
        </w:rPr>
        <w:t xml:space="preserve"> общ. Ред. А.А. </w:t>
      </w:r>
      <w:proofErr w:type="spellStart"/>
      <w:r w:rsidRPr="00C9107D">
        <w:rPr>
          <w:color w:val="000000"/>
          <w:szCs w:val="24"/>
        </w:rPr>
        <w:t>Шерякова</w:t>
      </w:r>
      <w:proofErr w:type="spellEnd"/>
      <w:r w:rsidRPr="00C9107D">
        <w:rPr>
          <w:color w:val="000000"/>
          <w:szCs w:val="24"/>
        </w:rPr>
        <w:t xml:space="preserve">. - Молодечно: Тип. «Победа», 2012. – 1220 </w:t>
      </w:r>
      <w:proofErr w:type="gramStart"/>
      <w:r w:rsidRPr="00C9107D">
        <w:rPr>
          <w:color w:val="000000"/>
          <w:szCs w:val="24"/>
        </w:rPr>
        <w:t>с</w:t>
      </w:r>
      <w:proofErr w:type="gramEnd"/>
      <w:r w:rsidRPr="00C9107D">
        <w:rPr>
          <w:color w:val="000000"/>
          <w:szCs w:val="24"/>
        </w:rPr>
        <w:t>.</w:t>
      </w:r>
    </w:p>
    <w:p w:rsidR="003949B8" w:rsidRPr="00C9107D" w:rsidRDefault="003949B8" w:rsidP="003949B8">
      <w:pPr>
        <w:pStyle w:val="a6"/>
        <w:numPr>
          <w:ilvl w:val="0"/>
          <w:numId w:val="2"/>
        </w:numPr>
        <w:tabs>
          <w:tab w:val="clear" w:pos="720"/>
          <w:tab w:val="left" w:pos="0"/>
          <w:tab w:val="left" w:pos="709"/>
        </w:tabs>
        <w:ind w:left="0" w:firstLine="357"/>
        <w:jc w:val="both"/>
        <w:rPr>
          <w:szCs w:val="24"/>
        </w:rPr>
      </w:pPr>
      <w:r w:rsidRPr="00C9107D">
        <w:rPr>
          <w:szCs w:val="24"/>
        </w:rPr>
        <w:t xml:space="preserve">Государственная фармакопея Республики Беларусь. (ГФ. РБ II): </w:t>
      </w:r>
      <w:proofErr w:type="gramStart"/>
      <w:r w:rsidRPr="00C9107D">
        <w:rPr>
          <w:szCs w:val="24"/>
        </w:rPr>
        <w:t>Разработана</w:t>
      </w:r>
      <w:proofErr w:type="gramEnd"/>
      <w:r w:rsidRPr="00C9107D">
        <w:rPr>
          <w:szCs w:val="24"/>
        </w:rPr>
        <w:t xml:space="preserve"> на основе Европейской фармакопеи. В 2 т. Т. 2: Контроль качества субстанций для фармацевтического использования и лекарственного растительного сырья / </w:t>
      </w:r>
      <w:proofErr w:type="spellStart"/>
      <w:proofErr w:type="gramStart"/>
      <w:r w:rsidRPr="00C9107D">
        <w:rPr>
          <w:szCs w:val="24"/>
        </w:rPr>
        <w:t>М-во</w:t>
      </w:r>
      <w:proofErr w:type="spellEnd"/>
      <w:proofErr w:type="gramEnd"/>
      <w:r w:rsidRPr="00C9107D">
        <w:rPr>
          <w:szCs w:val="24"/>
        </w:rPr>
        <w:t xml:space="preserve"> здравоохранения </w:t>
      </w:r>
      <w:proofErr w:type="spellStart"/>
      <w:r w:rsidRPr="00C9107D">
        <w:rPr>
          <w:szCs w:val="24"/>
        </w:rPr>
        <w:t>Респ</w:t>
      </w:r>
      <w:proofErr w:type="spellEnd"/>
      <w:r w:rsidRPr="00C9107D">
        <w:rPr>
          <w:szCs w:val="24"/>
        </w:rPr>
        <w:t>. Беларусь, Центр экспертиз и испытаний в здравоохранении; под общ</w:t>
      </w:r>
      <w:proofErr w:type="gramStart"/>
      <w:r w:rsidRPr="00C9107D">
        <w:rPr>
          <w:szCs w:val="24"/>
        </w:rPr>
        <w:t>.</w:t>
      </w:r>
      <w:proofErr w:type="gramEnd"/>
      <w:r w:rsidRPr="00C9107D">
        <w:rPr>
          <w:szCs w:val="24"/>
        </w:rPr>
        <w:t xml:space="preserve"> </w:t>
      </w:r>
      <w:proofErr w:type="gramStart"/>
      <w:r w:rsidRPr="00C9107D">
        <w:rPr>
          <w:szCs w:val="24"/>
        </w:rPr>
        <w:t>р</w:t>
      </w:r>
      <w:proofErr w:type="gramEnd"/>
      <w:r w:rsidRPr="00C9107D">
        <w:rPr>
          <w:szCs w:val="24"/>
        </w:rPr>
        <w:t>ед. С.И. Марченко. – Молодечно: Типография «Победа», 2016. –1368с.</w:t>
      </w:r>
    </w:p>
    <w:p w:rsidR="003949B8" w:rsidRPr="00C9107D" w:rsidRDefault="003949B8" w:rsidP="003949B8">
      <w:pPr>
        <w:shd w:val="clear" w:color="auto" w:fill="FFFFFF"/>
        <w:ind w:left="360" w:hanging="360"/>
        <w:rPr>
          <w:iCs/>
          <w:szCs w:val="24"/>
        </w:rPr>
      </w:pPr>
    </w:p>
    <w:p w:rsidR="003949B8" w:rsidRPr="00C9107D" w:rsidRDefault="003949B8" w:rsidP="003949B8">
      <w:pPr>
        <w:rPr>
          <w:szCs w:val="24"/>
        </w:rPr>
      </w:pPr>
      <w:r w:rsidRPr="00C9107D">
        <w:rPr>
          <w:szCs w:val="24"/>
        </w:rPr>
        <w:t>Разработано:</w:t>
      </w:r>
    </w:p>
    <w:p w:rsidR="003949B8" w:rsidRPr="00C9107D" w:rsidRDefault="003949B8" w:rsidP="003949B8">
      <w:pPr>
        <w:rPr>
          <w:szCs w:val="24"/>
        </w:rPr>
      </w:pPr>
      <w:r w:rsidRPr="00C9107D">
        <w:rPr>
          <w:szCs w:val="24"/>
        </w:rPr>
        <w:t xml:space="preserve">Зав. кафедрой промышленной </w:t>
      </w:r>
    </w:p>
    <w:p w:rsidR="003949B8" w:rsidRPr="00C9107D" w:rsidRDefault="003949B8" w:rsidP="003949B8">
      <w:pPr>
        <w:rPr>
          <w:szCs w:val="24"/>
        </w:rPr>
      </w:pPr>
      <w:r w:rsidRPr="00C9107D">
        <w:rPr>
          <w:szCs w:val="24"/>
        </w:rPr>
        <w:t>технологии лекарственных средств</w:t>
      </w:r>
    </w:p>
    <w:p w:rsidR="003949B8" w:rsidRPr="00C9107D" w:rsidRDefault="003949B8" w:rsidP="003949B8">
      <w:pPr>
        <w:rPr>
          <w:szCs w:val="24"/>
        </w:rPr>
      </w:pPr>
      <w:r w:rsidRPr="00C9107D">
        <w:rPr>
          <w:szCs w:val="24"/>
        </w:rPr>
        <w:t>с курсом ФПК и ПК, профессор</w:t>
      </w:r>
      <w:r w:rsidRPr="00C9107D">
        <w:rPr>
          <w:szCs w:val="24"/>
        </w:rPr>
        <w:tab/>
      </w:r>
      <w:r w:rsidRPr="00C9107D">
        <w:rPr>
          <w:szCs w:val="24"/>
        </w:rPr>
        <w:tab/>
      </w:r>
      <w:r w:rsidRPr="00C9107D">
        <w:rPr>
          <w:szCs w:val="24"/>
        </w:rPr>
        <w:tab/>
      </w:r>
      <w:r w:rsidRPr="00C9107D">
        <w:rPr>
          <w:szCs w:val="24"/>
        </w:rPr>
        <w:tab/>
        <w:t>О.М. Хишова</w:t>
      </w:r>
    </w:p>
    <w:p w:rsidR="003949B8" w:rsidRPr="00C9107D" w:rsidRDefault="003949B8" w:rsidP="003949B8">
      <w:pPr>
        <w:jc w:val="center"/>
        <w:rPr>
          <w:szCs w:val="24"/>
        </w:rPr>
      </w:pPr>
    </w:p>
    <w:p w:rsidR="003949B8" w:rsidRDefault="003949B8" w:rsidP="003949B8">
      <w:pPr>
        <w:tabs>
          <w:tab w:val="left" w:pos="7300"/>
        </w:tabs>
        <w:ind w:firstLine="720"/>
      </w:pPr>
    </w:p>
    <w:p w:rsidR="003949B8" w:rsidRDefault="003949B8" w:rsidP="003949B8"/>
    <w:p w:rsidR="00DE7653" w:rsidRDefault="00DE7653"/>
    <w:sectPr w:rsidR="00DE7653" w:rsidSect="005A46B2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204" w:rsidRDefault="00733204" w:rsidP="0022656C">
      <w:r>
        <w:separator/>
      </w:r>
    </w:p>
  </w:endnote>
  <w:endnote w:type="continuationSeparator" w:id="1">
    <w:p w:rsidR="00733204" w:rsidRDefault="00733204" w:rsidP="0022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4C" w:rsidRDefault="005D0C31" w:rsidP="005A46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65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664C" w:rsidRDefault="00CA59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4C" w:rsidRDefault="005D0C31" w:rsidP="005A46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65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17D7">
      <w:rPr>
        <w:rStyle w:val="a5"/>
        <w:noProof/>
      </w:rPr>
      <w:t>3</w:t>
    </w:r>
    <w:r>
      <w:rPr>
        <w:rStyle w:val="a5"/>
      </w:rPr>
      <w:fldChar w:fldCharType="end"/>
    </w:r>
  </w:p>
  <w:p w:rsidR="00F5664C" w:rsidRDefault="00CA59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204" w:rsidRDefault="00733204" w:rsidP="0022656C">
      <w:r>
        <w:separator/>
      </w:r>
    </w:p>
  </w:footnote>
  <w:footnote w:type="continuationSeparator" w:id="1">
    <w:p w:rsidR="00733204" w:rsidRDefault="00733204" w:rsidP="00226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5A39"/>
    <w:multiLevelType w:val="multilevel"/>
    <w:tmpl w:val="E638B798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D46389"/>
    <w:multiLevelType w:val="hybridMultilevel"/>
    <w:tmpl w:val="86B65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9B8"/>
    <w:rsid w:val="00030951"/>
    <w:rsid w:val="000869B3"/>
    <w:rsid w:val="001E4ED2"/>
    <w:rsid w:val="0022656C"/>
    <w:rsid w:val="002E656B"/>
    <w:rsid w:val="0039256D"/>
    <w:rsid w:val="003949B8"/>
    <w:rsid w:val="00484913"/>
    <w:rsid w:val="005D0C31"/>
    <w:rsid w:val="005E54C3"/>
    <w:rsid w:val="00600EFC"/>
    <w:rsid w:val="00733204"/>
    <w:rsid w:val="008117D7"/>
    <w:rsid w:val="00835098"/>
    <w:rsid w:val="008A57D0"/>
    <w:rsid w:val="00A65456"/>
    <w:rsid w:val="00A70E9C"/>
    <w:rsid w:val="00AA3FDD"/>
    <w:rsid w:val="00BC7BBC"/>
    <w:rsid w:val="00C94C47"/>
    <w:rsid w:val="00D13EA0"/>
    <w:rsid w:val="00DE7653"/>
    <w:rsid w:val="00E51AA4"/>
    <w:rsid w:val="00E92B4F"/>
    <w:rsid w:val="00F31886"/>
    <w:rsid w:val="00F5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49B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9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3949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949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3949B8"/>
    <w:rPr>
      <w:rFonts w:cs="Times New Roman"/>
    </w:rPr>
  </w:style>
  <w:style w:type="paragraph" w:styleId="a6">
    <w:name w:val="List Paragraph"/>
    <w:basedOn w:val="a"/>
    <w:uiPriority w:val="99"/>
    <w:qFormat/>
    <w:rsid w:val="00394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7FB6-E1DB-4985-869D-C5F54743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2020-03-18T11:36:00Z</dcterms:created>
  <dcterms:modified xsi:type="dcterms:W3CDTF">2020-03-18T11:36:00Z</dcterms:modified>
</cp:coreProperties>
</file>