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4D" w:rsidRDefault="00146F4D" w:rsidP="00146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4D">
        <w:rPr>
          <w:rFonts w:ascii="Times New Roman" w:hAnsi="Times New Roman" w:cs="Times New Roman"/>
          <w:b/>
          <w:sz w:val="28"/>
          <w:szCs w:val="28"/>
        </w:rPr>
        <w:t>В</w:t>
      </w:r>
      <w:r w:rsidRPr="00146F4D">
        <w:rPr>
          <w:rFonts w:ascii="Times New Roman" w:hAnsi="Times New Roman" w:cs="Times New Roman"/>
          <w:b/>
          <w:sz w:val="28"/>
          <w:szCs w:val="28"/>
        </w:rPr>
        <w:t xml:space="preserve">опросы </w:t>
      </w:r>
      <w:r w:rsidRPr="00146F4D">
        <w:rPr>
          <w:rFonts w:ascii="Times New Roman" w:hAnsi="Times New Roman" w:cs="Times New Roman"/>
          <w:b/>
          <w:sz w:val="28"/>
          <w:szCs w:val="28"/>
        </w:rPr>
        <w:t>для экзамена по практическим навыкам</w:t>
      </w:r>
      <w:r w:rsidRPr="00146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46F4D">
        <w:rPr>
          <w:rFonts w:ascii="Times New Roman" w:hAnsi="Times New Roman" w:cs="Times New Roman"/>
          <w:b/>
          <w:sz w:val="28"/>
          <w:szCs w:val="28"/>
        </w:rPr>
        <w:t>офтальмологии</w:t>
      </w:r>
    </w:p>
    <w:p w:rsidR="00146F4D" w:rsidRPr="00146F4D" w:rsidRDefault="00146F4D" w:rsidP="00146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Наружный осмотр органа зрения.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Методика осмотра конъюнктивы. Закапывание капель и закладывание мази в конъюнктивальную полость.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095410">
        <w:rPr>
          <w:rFonts w:ascii="Times New Roman" w:hAnsi="Times New Roman"/>
          <w:sz w:val="28"/>
          <w:szCs w:val="28"/>
        </w:rPr>
        <w:t>биомикроскопии</w:t>
      </w:r>
      <w:proofErr w:type="spellEnd"/>
      <w:r w:rsidRPr="00095410">
        <w:rPr>
          <w:rFonts w:ascii="Times New Roman" w:hAnsi="Times New Roman"/>
          <w:sz w:val="28"/>
          <w:szCs w:val="28"/>
        </w:rPr>
        <w:t>. Клиническое применение.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410">
        <w:rPr>
          <w:rFonts w:ascii="Times New Roman" w:hAnsi="Times New Roman"/>
          <w:sz w:val="28"/>
          <w:szCs w:val="28"/>
        </w:rPr>
        <w:t>Визометрия.Особенности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исследования остроты зрения у детей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095410">
        <w:rPr>
          <w:rFonts w:ascii="Times New Roman" w:hAnsi="Times New Roman"/>
          <w:sz w:val="28"/>
          <w:szCs w:val="28"/>
        </w:rPr>
        <w:t>визометрии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у пациентов с остротой зрения ниже 0,1. Формула </w:t>
      </w:r>
      <w:proofErr w:type="spellStart"/>
      <w:r w:rsidRPr="00095410">
        <w:rPr>
          <w:rFonts w:ascii="Times New Roman" w:hAnsi="Times New Roman"/>
          <w:sz w:val="28"/>
          <w:szCs w:val="28"/>
        </w:rPr>
        <w:t>Снеллена</w:t>
      </w:r>
      <w:proofErr w:type="spellEnd"/>
      <w:r w:rsidRPr="00095410">
        <w:rPr>
          <w:rFonts w:ascii="Times New Roman" w:hAnsi="Times New Roman"/>
          <w:sz w:val="28"/>
          <w:szCs w:val="28"/>
        </w:rPr>
        <w:t>, примеры расчетов.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Методика офтальмоскопии. Описание офтальмоскопической картины нормального глазного дна.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Методика исследования прозрачных сред глаза в проходящем свете. Диагностические возможности метода.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Методы обезболивания в </w:t>
      </w:r>
      <w:proofErr w:type="spellStart"/>
      <w:r w:rsidRPr="00095410">
        <w:rPr>
          <w:rFonts w:ascii="Times New Roman" w:hAnsi="Times New Roman"/>
          <w:sz w:val="28"/>
          <w:szCs w:val="28"/>
        </w:rPr>
        <w:t>офтальмохирургии</w:t>
      </w:r>
      <w:proofErr w:type="spellEnd"/>
      <w:r w:rsidRPr="00095410">
        <w:rPr>
          <w:rFonts w:ascii="Times New Roman" w:hAnsi="Times New Roman"/>
          <w:sz w:val="28"/>
          <w:szCs w:val="28"/>
        </w:rPr>
        <w:t>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Субъективный метод определения клинической рефракции. Определение вида и силы оптического стекла.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Объективный метод определения клинической рефракции, методика скиаскопии. 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Подбор очков у пациентов с пресбиопией в зависимости от исходного вида клинической рефракции. 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Методика измерения межзрачкового расстояния.</w:t>
      </w:r>
    </w:p>
    <w:p w:rsid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Дифференциальная диагностика </w:t>
      </w:r>
      <w:proofErr w:type="spellStart"/>
      <w:r w:rsidRPr="00095410">
        <w:rPr>
          <w:rFonts w:ascii="Times New Roman" w:hAnsi="Times New Roman"/>
          <w:sz w:val="28"/>
          <w:szCs w:val="28"/>
        </w:rPr>
        <w:t>содружественного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и паралитического косоглазия.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бактериального и вирусного конъюнктивита.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Дифференциальная диагностика воспалительного и </w:t>
      </w:r>
      <w:proofErr w:type="spellStart"/>
      <w:r w:rsidRPr="00095410">
        <w:rPr>
          <w:rFonts w:ascii="Times New Roman" w:hAnsi="Times New Roman"/>
          <w:sz w:val="28"/>
          <w:szCs w:val="28"/>
        </w:rPr>
        <w:t>невоспалительного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отека век, примеры заболеваний.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Дифференциальная диагностика ячменя и </w:t>
      </w:r>
      <w:proofErr w:type="spellStart"/>
      <w:r w:rsidRPr="00095410">
        <w:rPr>
          <w:rFonts w:ascii="Times New Roman" w:hAnsi="Times New Roman"/>
          <w:sz w:val="28"/>
          <w:szCs w:val="28"/>
        </w:rPr>
        <w:t>халазиона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верхнего века.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Исследование слезного мешка на наличие содержимого. Массаж слезного мешка, показания.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абсцесса века и флегмоны орбиты.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флегмоны слезного мешка и флегмоны орбиты.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Дифференциальная диагностика экзофтальма различного генеза. </w:t>
      </w:r>
      <w:proofErr w:type="spellStart"/>
      <w:r w:rsidRPr="00095410">
        <w:rPr>
          <w:rFonts w:ascii="Times New Roman" w:hAnsi="Times New Roman"/>
          <w:sz w:val="28"/>
          <w:szCs w:val="28"/>
        </w:rPr>
        <w:t>Экзофтальмометрия</w:t>
      </w:r>
      <w:proofErr w:type="spellEnd"/>
      <w:r w:rsidRPr="00095410">
        <w:rPr>
          <w:rFonts w:ascii="Times New Roman" w:hAnsi="Times New Roman"/>
          <w:sz w:val="28"/>
          <w:szCs w:val="28"/>
        </w:rPr>
        <w:t>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вирусных и бактериальных кератитов.</w:t>
      </w:r>
    </w:p>
    <w:p w:rsid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острого бактериального конъюнктивита и иридоциклита.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Классификация </w:t>
      </w:r>
      <w:proofErr w:type="spellStart"/>
      <w:r w:rsidRPr="00095410">
        <w:rPr>
          <w:rFonts w:ascii="Times New Roman" w:hAnsi="Times New Roman"/>
          <w:sz w:val="28"/>
          <w:szCs w:val="28"/>
        </w:rPr>
        <w:t>открытоугольной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глаукомы, определение ее стадии по состоянию функций и уровню.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Дифференциальная диагностика </w:t>
      </w:r>
      <w:proofErr w:type="spellStart"/>
      <w:r w:rsidRPr="00095410">
        <w:rPr>
          <w:rFonts w:ascii="Times New Roman" w:hAnsi="Times New Roman"/>
          <w:sz w:val="28"/>
          <w:szCs w:val="28"/>
        </w:rPr>
        <w:t>открытоугольной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терминальной (болящей) с высоким ВГД глаукомы и острого приступа глаукомы.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Методика исследования </w:t>
      </w:r>
      <w:proofErr w:type="spellStart"/>
      <w:r w:rsidRPr="00095410">
        <w:rPr>
          <w:rFonts w:ascii="Times New Roman" w:hAnsi="Times New Roman"/>
          <w:sz w:val="28"/>
          <w:szCs w:val="28"/>
        </w:rPr>
        <w:t>офтальмотонуса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410">
        <w:rPr>
          <w:rFonts w:ascii="Times New Roman" w:hAnsi="Times New Roman"/>
          <w:sz w:val="28"/>
          <w:szCs w:val="28"/>
        </w:rPr>
        <w:t>пальпаторно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410">
        <w:rPr>
          <w:rFonts w:ascii="Times New Roman" w:hAnsi="Times New Roman"/>
          <w:sz w:val="28"/>
          <w:szCs w:val="28"/>
        </w:rPr>
        <w:t>тонометрически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. 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lastRenderedPageBreak/>
        <w:t xml:space="preserve">Перечислить основные группы лекарственных препаратов, применяемых в лечении </w:t>
      </w:r>
      <w:proofErr w:type="spellStart"/>
      <w:r w:rsidRPr="00095410">
        <w:rPr>
          <w:rFonts w:ascii="Times New Roman" w:hAnsi="Times New Roman"/>
          <w:sz w:val="28"/>
          <w:szCs w:val="28"/>
        </w:rPr>
        <w:t>открытоугольной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глаукомы. Объяснить механизм их действия.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центральных и периферических дистрофий сетчатки.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неврита и застойного диска зрительного нерва.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Диагностика инородных тел конъюнктивы, роговицы. Способы удаления.</w:t>
      </w:r>
    </w:p>
    <w:p w:rsidR="00095410" w:rsidRDefault="00095410" w:rsidP="000954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проникающего и непроникающего роговичного ранения.</w:t>
      </w:r>
      <w:r w:rsidRPr="00095410">
        <w:rPr>
          <w:rFonts w:ascii="Times New Roman" w:hAnsi="Times New Roman"/>
          <w:sz w:val="28"/>
          <w:szCs w:val="28"/>
        </w:rPr>
        <w:t xml:space="preserve"> 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Перечислить основные группы антибактериальных препаратов, применяемых в лечении инфекционных заболеваний переднего отрезка глаза.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Противовоспалительные препараты, применяемые в офтальмологии, возможные пути введения.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 xml:space="preserve">Назначение офтальмологических препаратов, вызывающих </w:t>
      </w:r>
      <w:proofErr w:type="spellStart"/>
      <w:r w:rsidRPr="00095410">
        <w:rPr>
          <w:rFonts w:ascii="Times New Roman" w:hAnsi="Times New Roman"/>
          <w:sz w:val="28"/>
          <w:szCs w:val="28"/>
        </w:rPr>
        <w:t>мидриаз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410">
        <w:rPr>
          <w:rFonts w:ascii="Times New Roman" w:hAnsi="Times New Roman"/>
          <w:sz w:val="28"/>
          <w:szCs w:val="28"/>
        </w:rPr>
        <w:t>циклоплегию</w:t>
      </w:r>
      <w:proofErr w:type="spellEnd"/>
      <w:r w:rsidRPr="00095410">
        <w:rPr>
          <w:rFonts w:ascii="Times New Roman" w:hAnsi="Times New Roman"/>
          <w:sz w:val="28"/>
          <w:szCs w:val="28"/>
        </w:rPr>
        <w:t xml:space="preserve">. 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Пути введения лекарственных средств в офтальмологии.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«Красный глаз», дифференциальная диагностика. Виды инъекций глазного яблока с примерами заболеваний.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острого приступа глаукомы и иридоциклита.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дакриоцистита новорожденного и конъюнктивита.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хронического гнойного дакриоцистита и бактериального конъюнктивита.</w:t>
      </w:r>
    </w:p>
    <w:p w:rsidR="00095410" w:rsidRPr="00095410" w:rsidRDefault="00095410" w:rsidP="000954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10">
        <w:rPr>
          <w:rFonts w:ascii="Times New Roman" w:hAnsi="Times New Roman"/>
          <w:sz w:val="28"/>
          <w:szCs w:val="28"/>
        </w:rPr>
        <w:t>Дифференциальная диагностика врожденной глаукомы и дакриоцистита новорожденных.</w:t>
      </w:r>
    </w:p>
    <w:p w:rsidR="00997E56" w:rsidRPr="00095410" w:rsidRDefault="00997E56" w:rsidP="00095410">
      <w:pPr>
        <w:rPr>
          <w:sz w:val="28"/>
          <w:szCs w:val="28"/>
        </w:rPr>
      </w:pPr>
    </w:p>
    <w:sectPr w:rsidR="00997E56" w:rsidRPr="0009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66E30"/>
    <w:multiLevelType w:val="hybridMultilevel"/>
    <w:tmpl w:val="EA60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C305D"/>
    <w:multiLevelType w:val="hybridMultilevel"/>
    <w:tmpl w:val="1E18D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6DD7"/>
    <w:multiLevelType w:val="hybridMultilevel"/>
    <w:tmpl w:val="1F34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405"/>
    <w:multiLevelType w:val="hybridMultilevel"/>
    <w:tmpl w:val="A48AE89E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03E41"/>
    <w:multiLevelType w:val="hybridMultilevel"/>
    <w:tmpl w:val="2A5A28EA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13C0F"/>
    <w:multiLevelType w:val="hybridMultilevel"/>
    <w:tmpl w:val="AB8205FA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3F60DE"/>
    <w:multiLevelType w:val="hybridMultilevel"/>
    <w:tmpl w:val="D32A84D2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4737F3"/>
    <w:multiLevelType w:val="hybridMultilevel"/>
    <w:tmpl w:val="23BC2688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9D61B7"/>
    <w:multiLevelType w:val="hybridMultilevel"/>
    <w:tmpl w:val="CAAE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33B00"/>
    <w:multiLevelType w:val="hybridMultilevel"/>
    <w:tmpl w:val="67F6CB62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CE0A2D"/>
    <w:multiLevelType w:val="hybridMultilevel"/>
    <w:tmpl w:val="FF20008A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10"/>
    <w:rsid w:val="00095410"/>
    <w:rsid w:val="00146F4D"/>
    <w:rsid w:val="009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716CE-9A35-4F62-A808-751900D0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1</cp:revision>
  <dcterms:created xsi:type="dcterms:W3CDTF">2023-02-20T07:19:00Z</dcterms:created>
  <dcterms:modified xsi:type="dcterms:W3CDTF">2023-02-20T07:31:00Z</dcterms:modified>
</cp:coreProperties>
</file>