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00FA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45404D36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4EDEFB04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5B509F98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3F076D9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1B0374B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6EA0B7C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26B6B1A5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49C9DFE2" w14:textId="4511B79F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CE3430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609EABE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4234BB38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7BFF1D1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0B318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78CB5C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4A1E59CB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67A4A1" w14:textId="77777777" w:rsidR="00384DFB" w:rsidRPr="00E175BA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75BA">
        <w:rPr>
          <w:rFonts w:ascii="Times New Roman" w:hAnsi="Times New Roman"/>
          <w:b/>
          <w:sz w:val="24"/>
          <w:szCs w:val="24"/>
        </w:rPr>
        <w:t>НАЗВАНИЕ ЛЕКЦИИ:</w:t>
      </w:r>
      <w:r w:rsidRPr="00E175BA">
        <w:rPr>
          <w:rFonts w:ascii="Times New Roman" w:hAnsi="Times New Roman"/>
          <w:sz w:val="24"/>
          <w:szCs w:val="24"/>
        </w:rPr>
        <w:t xml:space="preserve"> «</w:t>
      </w:r>
      <w:r w:rsidR="00E175BA" w:rsidRPr="00E175BA">
        <w:rPr>
          <w:rFonts w:ascii="Times New Roman" w:hAnsi="Times New Roman"/>
          <w:b/>
          <w:sz w:val="24"/>
          <w:szCs w:val="24"/>
        </w:rPr>
        <w:t>Геморрагический шок и методы восполнения кровопотери</w:t>
      </w:r>
      <w:r w:rsidR="007F0007" w:rsidRPr="00E175BA">
        <w:rPr>
          <w:rFonts w:ascii="Times New Roman" w:hAnsi="Times New Roman"/>
          <w:b/>
          <w:sz w:val="24"/>
          <w:szCs w:val="24"/>
        </w:rPr>
        <w:t>»</w:t>
      </w:r>
    </w:p>
    <w:p w14:paraId="68236CD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321317FF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218C6BB4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230C989B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473F56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09559598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58A968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6B67D5AB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7CE7A0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17CEAB30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89FD8B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3ED0A4AC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654A38F8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B785DC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03B38E44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A6585DF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3CD7435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BEFF7EF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00076E22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3818CDD1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2A9C9F00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558C7C78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98FEDA6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9CBBEA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24E1EC35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0A2F6BD3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8482477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62ABC684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2B7A845B" w14:textId="77777777" w:rsidTr="002A3D9F">
        <w:tc>
          <w:tcPr>
            <w:tcW w:w="8046" w:type="dxa"/>
          </w:tcPr>
          <w:p w14:paraId="72EB9542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52CA06FA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2E788C50" w14:textId="77777777" w:rsidTr="002A3D9F">
        <w:tc>
          <w:tcPr>
            <w:tcW w:w="8046" w:type="dxa"/>
          </w:tcPr>
          <w:p w14:paraId="1634613E" w14:textId="77777777" w:rsidR="00520CF9" w:rsidRPr="004244B3" w:rsidRDefault="00520CF9" w:rsidP="00D214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214BB" w:rsidRPr="00D214BB">
              <w:rPr>
                <w:rFonts w:ascii="Times New Roman" w:hAnsi="Times New Roman"/>
                <w:sz w:val="24"/>
                <w:szCs w:val="24"/>
              </w:rPr>
              <w:t>Острая кровопотеря, геморрагический шок: клиническая картина, диагностика, оценка тяжести состояния пациента. Диагностика геморрагического шока. Клиническая картина компенсированной и декомпенсированной кровопотери. Аутогемодилюция. Влияние лекарственных средств, используемых при обезболивании на компенсаторные механизмы при острой кровопотере</w:t>
            </w:r>
            <w:r w:rsidR="00D21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72833441" w14:textId="77777777" w:rsidR="00520CF9" w:rsidRPr="004244B3" w:rsidRDefault="005A6F90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75A8C27C" w14:textId="77777777" w:rsidTr="002A3D9F">
        <w:tc>
          <w:tcPr>
            <w:tcW w:w="8046" w:type="dxa"/>
          </w:tcPr>
          <w:p w14:paraId="61ABA5B6" w14:textId="77777777" w:rsidR="00520CF9" w:rsidRPr="004244B3" w:rsidRDefault="00520CF9" w:rsidP="00D214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214BB" w:rsidRPr="00D214BB">
              <w:rPr>
                <w:rFonts w:ascii="Times New Roman" w:hAnsi="Times New Roman"/>
                <w:sz w:val="24"/>
                <w:szCs w:val="24"/>
              </w:rPr>
              <w:t>Выбор компонентов анестезии. Особенности действия лекарственных средств (мышечных релаксантов, нейролептических, ганглиоблокирующих и других препаратов) в условиях кровопотери. Методы интенсивной терапии</w:t>
            </w:r>
            <w:r w:rsidR="00D21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1101305B" w14:textId="77777777" w:rsidR="00520CF9" w:rsidRPr="004244B3" w:rsidRDefault="00520CF9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3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663A0E6C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483D58" w14:textId="77777777" w:rsidR="00C6491E" w:rsidRPr="00864E22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66395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B2159F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30F440E4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256A3349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763E43CB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90778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6043311">
    <w:abstractNumId w:val="4"/>
  </w:num>
  <w:num w:numId="3" w16cid:durableId="1084836500">
    <w:abstractNumId w:val="6"/>
  </w:num>
  <w:num w:numId="4" w16cid:durableId="852299949">
    <w:abstractNumId w:val="2"/>
  </w:num>
  <w:num w:numId="5" w16cid:durableId="1330059373">
    <w:abstractNumId w:val="7"/>
  </w:num>
  <w:num w:numId="6" w16cid:durableId="2027250706">
    <w:abstractNumId w:val="3"/>
  </w:num>
  <w:num w:numId="7" w16cid:durableId="261500640">
    <w:abstractNumId w:val="8"/>
  </w:num>
  <w:num w:numId="8" w16cid:durableId="763846078">
    <w:abstractNumId w:val="0"/>
  </w:num>
  <w:num w:numId="9" w16cid:durableId="58858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D3F64"/>
    <w:rsid w:val="00207E86"/>
    <w:rsid w:val="002272AE"/>
    <w:rsid w:val="002A3D9F"/>
    <w:rsid w:val="002B147F"/>
    <w:rsid w:val="002B638C"/>
    <w:rsid w:val="002F201A"/>
    <w:rsid w:val="00335165"/>
    <w:rsid w:val="00384DFB"/>
    <w:rsid w:val="00385F39"/>
    <w:rsid w:val="003E3097"/>
    <w:rsid w:val="004244B3"/>
    <w:rsid w:val="00456FCB"/>
    <w:rsid w:val="004A09AB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7310F"/>
    <w:rsid w:val="006A1779"/>
    <w:rsid w:val="006B1299"/>
    <w:rsid w:val="007573D4"/>
    <w:rsid w:val="007A12E3"/>
    <w:rsid w:val="007A1681"/>
    <w:rsid w:val="007A38C5"/>
    <w:rsid w:val="007E7A51"/>
    <w:rsid w:val="007F0007"/>
    <w:rsid w:val="00831CF0"/>
    <w:rsid w:val="00864E22"/>
    <w:rsid w:val="0092247B"/>
    <w:rsid w:val="00943650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2235"/>
    <w:rsid w:val="00AA0022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3430"/>
    <w:rsid w:val="00CE4E67"/>
    <w:rsid w:val="00D214BB"/>
    <w:rsid w:val="00D4089E"/>
    <w:rsid w:val="00D46540"/>
    <w:rsid w:val="00D97E0F"/>
    <w:rsid w:val="00DF5275"/>
    <w:rsid w:val="00E175BA"/>
    <w:rsid w:val="00E80239"/>
    <w:rsid w:val="00EB6150"/>
    <w:rsid w:val="00EC39E4"/>
    <w:rsid w:val="00EF6AB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E7BF9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2018-11-22T12:35:00Z</dcterms:created>
  <dcterms:modified xsi:type="dcterms:W3CDTF">2022-12-26T16:57:00Z</dcterms:modified>
</cp:coreProperties>
</file>