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B7BB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77974D9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9848298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B92F249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F65B81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C54B8B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93EA39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316955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46D3C39" w14:textId="69267A80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CE66F7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DAC20F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F79576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D1BFD8B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5DA642A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641483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17D5A13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0F565C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14EDCE2" w14:textId="77777777" w:rsidR="001B7B2C" w:rsidRPr="001A0538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1A0538">
        <w:rPr>
          <w:b/>
          <w:szCs w:val="24"/>
        </w:rPr>
        <w:t>ТЕМА:</w:t>
      </w:r>
      <w:r w:rsidRPr="001A0538">
        <w:rPr>
          <w:szCs w:val="24"/>
        </w:rPr>
        <w:t xml:space="preserve"> «</w:t>
      </w:r>
      <w:r w:rsidR="001A0538" w:rsidRPr="001A0538">
        <w:rPr>
          <w:b/>
          <w:szCs w:val="24"/>
        </w:rPr>
        <w:t>Особенности анестезиологического обеспечения пациентов с термической травмой</w:t>
      </w:r>
      <w:r w:rsidRPr="001A0538">
        <w:rPr>
          <w:szCs w:val="24"/>
        </w:rPr>
        <w:t>».</w:t>
      </w:r>
    </w:p>
    <w:p w14:paraId="597CB686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310550"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20730627" w14:textId="77777777" w:rsidR="00375B49" w:rsidRPr="00BD3219" w:rsidRDefault="00375B49" w:rsidP="003B0778">
      <w:pPr>
        <w:widowControl w:val="0"/>
        <w:ind w:firstLine="709"/>
        <w:jc w:val="center"/>
        <w:rPr>
          <w:szCs w:val="24"/>
        </w:rPr>
      </w:pPr>
    </w:p>
    <w:p w14:paraId="77BFC6FA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13416999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4F7CC0F6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4534EC">
        <w:rPr>
          <w:szCs w:val="24"/>
        </w:rPr>
        <w:t xml:space="preserve">пациентов </w:t>
      </w:r>
      <w:r w:rsidR="00310550">
        <w:rPr>
          <w:szCs w:val="24"/>
        </w:rPr>
        <w:t>с термической травмой</w:t>
      </w:r>
      <w:r w:rsidRPr="006418E5">
        <w:rPr>
          <w:szCs w:val="24"/>
        </w:rPr>
        <w:t>.</w:t>
      </w:r>
    </w:p>
    <w:p w14:paraId="000387E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2820117" w14:textId="77777777" w:rsidR="00310550" w:rsidRDefault="001B7B2C" w:rsidP="00860804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="00310550" w:rsidRPr="00310550">
        <w:rPr>
          <w:szCs w:val="24"/>
        </w:rPr>
        <w:t>О</w:t>
      </w:r>
      <w:r w:rsidR="00310550">
        <w:rPr>
          <w:szCs w:val="24"/>
        </w:rPr>
        <w:t>ценка</w:t>
      </w:r>
      <w:r w:rsidR="00310550" w:rsidRPr="00310550">
        <w:rPr>
          <w:szCs w:val="24"/>
        </w:rPr>
        <w:t xml:space="preserve"> болевого синдрома у пациентов с обширными ожогами</w:t>
      </w:r>
      <w:r w:rsidR="00310550">
        <w:rPr>
          <w:szCs w:val="24"/>
        </w:rPr>
        <w:t>.</w:t>
      </w:r>
      <w:r w:rsidR="00310550" w:rsidRPr="00107B1C">
        <w:rPr>
          <w:color w:val="000000"/>
          <w:szCs w:val="24"/>
        </w:rPr>
        <w:t xml:space="preserve"> </w:t>
      </w:r>
    </w:p>
    <w:p w14:paraId="7070841B" w14:textId="77777777" w:rsidR="00B75F9C" w:rsidRDefault="00310550" w:rsidP="00860804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310550">
        <w:rPr>
          <w:szCs w:val="24"/>
        </w:rPr>
        <w:t xml:space="preserve">Проведение общей анестезии при выполнении перевязок и оперативных вмешательств </w:t>
      </w:r>
      <w:hyperlink r:id="rId5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2788E2AE" w14:textId="77777777" w:rsidR="00860804" w:rsidRPr="00860804" w:rsidRDefault="00310550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B75F9C">
        <w:rPr>
          <w:szCs w:val="24"/>
        </w:rPr>
        <w:t xml:space="preserve">. </w:t>
      </w:r>
      <w:r w:rsidRPr="00310550">
        <w:rPr>
          <w:szCs w:val="24"/>
        </w:rPr>
        <w:t>Определение показаний и</w:t>
      </w:r>
      <w:r>
        <w:rPr>
          <w:szCs w:val="24"/>
        </w:rPr>
        <w:t xml:space="preserve"> </w:t>
      </w:r>
      <w:r w:rsidRPr="00310550">
        <w:rPr>
          <w:szCs w:val="24"/>
        </w:rPr>
        <w:t>оптимальных сроков для некротомии, планирование операции, расчет предполагаемой кровопотери</w:t>
      </w:r>
      <w:r w:rsidR="004534EC">
        <w:rPr>
          <w:szCs w:val="24"/>
        </w:rPr>
        <w:t>.</w:t>
      </w:r>
    </w:p>
    <w:p w14:paraId="496CE76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71F745F8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пределение</w:t>
      </w:r>
      <w:r w:rsidRPr="00310550">
        <w:rPr>
          <w:szCs w:val="24"/>
        </w:rPr>
        <w:t xml:space="preserve"> болевого синдрома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36442139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Обеспечение</w:t>
      </w:r>
      <w:r w:rsidRPr="00310550">
        <w:rPr>
          <w:szCs w:val="24"/>
        </w:rPr>
        <w:t xml:space="preserve"> общей анестезии при выполнении перевязок и оперативных вмешательств </w:t>
      </w:r>
      <w:hyperlink r:id="rId6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6EBB515C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</w:t>
      </w:r>
      <w:r w:rsidRPr="00310550">
        <w:rPr>
          <w:szCs w:val="24"/>
        </w:rPr>
        <w:t>оказани</w:t>
      </w:r>
      <w:r>
        <w:rPr>
          <w:szCs w:val="24"/>
        </w:rPr>
        <w:t>я</w:t>
      </w:r>
      <w:r w:rsidRPr="00310550">
        <w:rPr>
          <w:szCs w:val="24"/>
        </w:rPr>
        <w:t xml:space="preserve"> и оптимальны</w:t>
      </w:r>
      <w:r>
        <w:rPr>
          <w:szCs w:val="24"/>
        </w:rPr>
        <w:t>е</w:t>
      </w:r>
      <w:r w:rsidRPr="00310550">
        <w:rPr>
          <w:szCs w:val="24"/>
        </w:rPr>
        <w:t xml:space="preserve"> срок</w:t>
      </w:r>
      <w:r>
        <w:rPr>
          <w:szCs w:val="24"/>
        </w:rPr>
        <w:t>и</w:t>
      </w:r>
      <w:r w:rsidRPr="00310550">
        <w:rPr>
          <w:szCs w:val="24"/>
        </w:rPr>
        <w:t xml:space="preserve"> для некротомии, планировани</w:t>
      </w:r>
      <w:r>
        <w:rPr>
          <w:szCs w:val="24"/>
        </w:rPr>
        <w:t>я</w:t>
      </w:r>
      <w:r w:rsidRPr="00310550">
        <w:rPr>
          <w:szCs w:val="24"/>
        </w:rPr>
        <w:t xml:space="preserve"> операции, расчет предполагаемой кровопотери</w:t>
      </w:r>
      <w:r>
        <w:rPr>
          <w:szCs w:val="24"/>
        </w:rPr>
        <w:t>.</w:t>
      </w:r>
    </w:p>
    <w:p w14:paraId="232D257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6032791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ценивать</w:t>
      </w:r>
      <w:r w:rsidRPr="00310550">
        <w:rPr>
          <w:szCs w:val="24"/>
        </w:rPr>
        <w:t xml:space="preserve"> болево</w:t>
      </w:r>
      <w:r>
        <w:rPr>
          <w:szCs w:val="24"/>
        </w:rPr>
        <w:t>й</w:t>
      </w:r>
      <w:r w:rsidRPr="00310550">
        <w:rPr>
          <w:szCs w:val="24"/>
        </w:rPr>
        <w:t xml:space="preserve"> синдром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12119748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310550">
        <w:rPr>
          <w:szCs w:val="24"/>
        </w:rPr>
        <w:t>Пров</w:t>
      </w:r>
      <w:r>
        <w:rPr>
          <w:szCs w:val="24"/>
        </w:rPr>
        <w:t>одить</w:t>
      </w:r>
      <w:r w:rsidRPr="00310550">
        <w:rPr>
          <w:szCs w:val="24"/>
        </w:rPr>
        <w:t xml:space="preserve"> общ</w:t>
      </w:r>
      <w:r>
        <w:rPr>
          <w:szCs w:val="24"/>
        </w:rPr>
        <w:t>ую</w:t>
      </w:r>
      <w:r w:rsidRPr="00310550">
        <w:rPr>
          <w:szCs w:val="24"/>
        </w:rPr>
        <w:t xml:space="preserve"> анестези</w:t>
      </w:r>
      <w:r>
        <w:rPr>
          <w:szCs w:val="24"/>
        </w:rPr>
        <w:t>ю</w:t>
      </w:r>
      <w:r w:rsidRPr="00310550">
        <w:rPr>
          <w:szCs w:val="24"/>
        </w:rPr>
        <w:t xml:space="preserve"> при выполнении перевязок и оперативных вмешательств </w:t>
      </w:r>
      <w:hyperlink r:id="rId7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47E56213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310550">
        <w:rPr>
          <w:szCs w:val="24"/>
        </w:rPr>
        <w:t>Определ</w:t>
      </w:r>
      <w:r>
        <w:rPr>
          <w:szCs w:val="24"/>
        </w:rPr>
        <w:t>ять</w:t>
      </w:r>
      <w:r w:rsidRPr="00310550">
        <w:rPr>
          <w:szCs w:val="24"/>
        </w:rPr>
        <w:t xml:space="preserve"> показаний и</w:t>
      </w:r>
      <w:r>
        <w:rPr>
          <w:szCs w:val="24"/>
        </w:rPr>
        <w:t xml:space="preserve"> </w:t>
      </w:r>
      <w:r w:rsidRPr="00310550">
        <w:rPr>
          <w:szCs w:val="24"/>
        </w:rPr>
        <w:t>оптимальных сроков для некротомии, планирование операции</w:t>
      </w:r>
      <w:r>
        <w:rPr>
          <w:szCs w:val="24"/>
        </w:rPr>
        <w:t>.</w:t>
      </w:r>
    </w:p>
    <w:p w14:paraId="45F0403A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 Р</w:t>
      </w:r>
      <w:r w:rsidRPr="00310550">
        <w:rPr>
          <w:szCs w:val="24"/>
        </w:rPr>
        <w:t>ас</w:t>
      </w:r>
      <w:r>
        <w:rPr>
          <w:szCs w:val="24"/>
        </w:rPr>
        <w:t>с</w:t>
      </w:r>
      <w:r w:rsidRPr="00310550">
        <w:rPr>
          <w:szCs w:val="24"/>
        </w:rPr>
        <w:t>ч</w:t>
      </w:r>
      <w:r>
        <w:rPr>
          <w:szCs w:val="24"/>
        </w:rPr>
        <w:t>итывать</w:t>
      </w:r>
      <w:r w:rsidRPr="00310550">
        <w:rPr>
          <w:szCs w:val="24"/>
        </w:rPr>
        <w:t xml:space="preserve"> предполагаем</w:t>
      </w:r>
      <w:r>
        <w:rPr>
          <w:szCs w:val="24"/>
        </w:rPr>
        <w:t>ую</w:t>
      </w:r>
      <w:r w:rsidRPr="00310550">
        <w:rPr>
          <w:szCs w:val="24"/>
        </w:rPr>
        <w:t xml:space="preserve"> кровопотер</w:t>
      </w:r>
      <w:r>
        <w:rPr>
          <w:szCs w:val="24"/>
        </w:rPr>
        <w:t>ю.</w:t>
      </w:r>
    </w:p>
    <w:p w14:paraId="2CDCDC4B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2FFC005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1A4D972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C36E93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419CE38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3AD18D02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141B4CD6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310550">
        <w:rPr>
          <w:szCs w:val="24"/>
        </w:rPr>
        <w:t xml:space="preserve"> и </w:t>
      </w:r>
      <w:r w:rsidR="00310550">
        <w:rPr>
          <w:szCs w:val="24"/>
        </w:rPr>
        <w:lastRenderedPageBreak/>
        <w:t>противошоковых мероприятий</w:t>
      </w:r>
      <w:r w:rsidR="001B7B2C" w:rsidRPr="00C07A3D">
        <w:rPr>
          <w:szCs w:val="24"/>
        </w:rPr>
        <w:t>;</w:t>
      </w:r>
    </w:p>
    <w:p w14:paraId="765F6FA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="00310550">
        <w:rPr>
          <w:szCs w:val="24"/>
        </w:rPr>
        <w:t xml:space="preserve"> и карт интенсивной терапии</w:t>
      </w:r>
      <w:r w:rsidRPr="00C07A3D">
        <w:rPr>
          <w:szCs w:val="24"/>
        </w:rPr>
        <w:t>;</w:t>
      </w:r>
    </w:p>
    <w:p w14:paraId="464C3A0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755C0ED0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7B138B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4D8FDA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7893B078" w14:textId="77777777" w:rsidTr="00D81698">
        <w:tc>
          <w:tcPr>
            <w:tcW w:w="8046" w:type="dxa"/>
          </w:tcPr>
          <w:p w14:paraId="638896B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A0B8FAE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5089B2F8" w14:textId="77777777" w:rsidTr="00D81698">
        <w:tc>
          <w:tcPr>
            <w:tcW w:w="8046" w:type="dxa"/>
          </w:tcPr>
          <w:p w14:paraId="54E5D68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0636797" w14:textId="77777777" w:rsidR="001B7B2C" w:rsidRPr="00C07A3D" w:rsidRDefault="00490E51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537AECF" w14:textId="77777777" w:rsidTr="00D81698">
        <w:tc>
          <w:tcPr>
            <w:tcW w:w="8046" w:type="dxa"/>
          </w:tcPr>
          <w:p w14:paraId="4DA3A6E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1A4647A8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384EE10" w14:textId="77777777" w:rsidTr="00D81698">
        <w:tc>
          <w:tcPr>
            <w:tcW w:w="8046" w:type="dxa"/>
          </w:tcPr>
          <w:p w14:paraId="1439E63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C416323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5DADA611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9C8B43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3B76E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F2015B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CECD04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3FF681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848556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A021D1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E233480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7A20C56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ценка</w:t>
      </w:r>
      <w:r w:rsidRPr="00310550">
        <w:rPr>
          <w:szCs w:val="24"/>
        </w:rPr>
        <w:t xml:space="preserve"> болевого синдрома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0EC00035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310550">
        <w:rPr>
          <w:szCs w:val="24"/>
        </w:rPr>
        <w:t xml:space="preserve">Проведение общей анестезии при выполнении перевязок и оперативных вмешательств </w:t>
      </w:r>
      <w:hyperlink r:id="rId8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76D4B73C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310550">
        <w:rPr>
          <w:szCs w:val="24"/>
        </w:rPr>
        <w:t>Определение показаний и  оптимальных сроков для некротомии, планирование операции, расчет предполагаемой кровопотери</w:t>
      </w:r>
      <w:r>
        <w:rPr>
          <w:szCs w:val="24"/>
        </w:rPr>
        <w:t>.</w:t>
      </w:r>
    </w:p>
    <w:p w14:paraId="59866BA9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4DD1DC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1CBCD3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28C3E6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942A838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D3C6306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40AFCAF3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309AA2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4D1D79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lastRenderedPageBreak/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1487686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3F7D522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5B86D1E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F3EE3B9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AB3298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364C89C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14EE63F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AE3CCE3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037FDAD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F0BAE3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E264732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D86284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EC2E5F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5FDBA0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51D5A0D0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0B872D59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5BE36461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3D8ECE28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A87A41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0AF75E7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64AED71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1383EFA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78EA1B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5DE58C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E006A5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0FD41BB" w14:textId="5EC9B5BB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310550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CE66F7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ECF9BF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D9E53E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E04A4B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33019B6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3757202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47850A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6BA04A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9509405" w14:textId="77777777" w:rsidR="00310550" w:rsidRPr="001A0538" w:rsidRDefault="00310550" w:rsidP="00310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1A0538">
        <w:rPr>
          <w:b/>
          <w:szCs w:val="24"/>
        </w:rPr>
        <w:t>ТЕМА:</w:t>
      </w:r>
      <w:r w:rsidRPr="001A0538">
        <w:rPr>
          <w:szCs w:val="24"/>
        </w:rPr>
        <w:t xml:space="preserve"> «</w:t>
      </w:r>
      <w:r w:rsidRPr="001A0538">
        <w:rPr>
          <w:b/>
          <w:szCs w:val="24"/>
        </w:rPr>
        <w:t>Особенности анестезиологического обеспечения пациентов с термической травмой</w:t>
      </w:r>
      <w:r w:rsidRPr="001A0538">
        <w:rPr>
          <w:szCs w:val="24"/>
        </w:rPr>
        <w:t>».</w:t>
      </w:r>
    </w:p>
    <w:p w14:paraId="434B3D23" w14:textId="77777777" w:rsidR="00310550" w:rsidRPr="006418E5" w:rsidRDefault="00310550" w:rsidP="00310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38753FD5" w14:textId="77777777" w:rsidR="00310550" w:rsidRPr="00BD3219" w:rsidRDefault="00310550" w:rsidP="00310550">
      <w:pPr>
        <w:widowControl w:val="0"/>
        <w:ind w:firstLine="709"/>
        <w:jc w:val="center"/>
        <w:rPr>
          <w:szCs w:val="24"/>
        </w:rPr>
      </w:pPr>
    </w:p>
    <w:p w14:paraId="051E993C" w14:textId="77777777" w:rsidR="00310550" w:rsidRPr="00C050E6" w:rsidRDefault="00310550" w:rsidP="00310550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1E957E3" w14:textId="77777777" w:rsidR="00310550" w:rsidRPr="00C050E6" w:rsidRDefault="00310550" w:rsidP="00310550">
      <w:pPr>
        <w:widowControl w:val="0"/>
        <w:ind w:firstLine="709"/>
        <w:jc w:val="center"/>
        <w:rPr>
          <w:szCs w:val="24"/>
        </w:rPr>
      </w:pPr>
    </w:p>
    <w:p w14:paraId="6FDD3EB5" w14:textId="77777777" w:rsidR="00310550" w:rsidRPr="006418E5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пациентов с термической травмой</w:t>
      </w:r>
      <w:r w:rsidRPr="006418E5">
        <w:rPr>
          <w:szCs w:val="24"/>
        </w:rPr>
        <w:t>.</w:t>
      </w:r>
    </w:p>
    <w:p w14:paraId="15BB9C25" w14:textId="77777777" w:rsidR="00310550" w:rsidRPr="00BD3219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96201B2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ценка</w:t>
      </w:r>
      <w:r w:rsidRPr="00310550">
        <w:rPr>
          <w:szCs w:val="24"/>
        </w:rPr>
        <w:t xml:space="preserve"> болевого синдрома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1FE7E3BB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310550">
        <w:rPr>
          <w:szCs w:val="24"/>
        </w:rPr>
        <w:t xml:space="preserve">Проведение общей анестезии при выполнении перевязок и оперативных вмешательств </w:t>
      </w:r>
      <w:hyperlink r:id="rId9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1E183D26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310550">
        <w:rPr>
          <w:szCs w:val="24"/>
        </w:rPr>
        <w:t>Определение показаний и</w:t>
      </w:r>
      <w:r>
        <w:rPr>
          <w:szCs w:val="24"/>
        </w:rPr>
        <w:t xml:space="preserve"> </w:t>
      </w:r>
      <w:r w:rsidRPr="00310550">
        <w:rPr>
          <w:szCs w:val="24"/>
        </w:rPr>
        <w:t>оптимальных сроков для некротомии, планирование операции, расчет предполагаемой кровопотери</w:t>
      </w:r>
      <w:r>
        <w:rPr>
          <w:szCs w:val="24"/>
        </w:rPr>
        <w:t>.</w:t>
      </w:r>
    </w:p>
    <w:p w14:paraId="22EEA7D5" w14:textId="77777777" w:rsidR="00310550" w:rsidRPr="00BD3219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8A965BB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пределение</w:t>
      </w:r>
      <w:r w:rsidRPr="00310550">
        <w:rPr>
          <w:szCs w:val="24"/>
        </w:rPr>
        <w:t xml:space="preserve"> болевого синдрома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55B0781F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Обеспечение</w:t>
      </w:r>
      <w:r w:rsidRPr="00310550">
        <w:rPr>
          <w:szCs w:val="24"/>
        </w:rPr>
        <w:t xml:space="preserve"> общей анестезии при выполнении перевязок и оперативных вмешательств </w:t>
      </w:r>
      <w:hyperlink r:id="rId10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6DFD1826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</w:t>
      </w:r>
      <w:r w:rsidRPr="00310550">
        <w:rPr>
          <w:szCs w:val="24"/>
        </w:rPr>
        <w:t>оказани</w:t>
      </w:r>
      <w:r>
        <w:rPr>
          <w:szCs w:val="24"/>
        </w:rPr>
        <w:t>я</w:t>
      </w:r>
      <w:r w:rsidRPr="00310550">
        <w:rPr>
          <w:szCs w:val="24"/>
        </w:rPr>
        <w:t xml:space="preserve"> и оптимальны</w:t>
      </w:r>
      <w:r>
        <w:rPr>
          <w:szCs w:val="24"/>
        </w:rPr>
        <w:t>е</w:t>
      </w:r>
      <w:r w:rsidRPr="00310550">
        <w:rPr>
          <w:szCs w:val="24"/>
        </w:rPr>
        <w:t xml:space="preserve"> срок</w:t>
      </w:r>
      <w:r>
        <w:rPr>
          <w:szCs w:val="24"/>
        </w:rPr>
        <w:t>и</w:t>
      </w:r>
      <w:r w:rsidRPr="00310550">
        <w:rPr>
          <w:szCs w:val="24"/>
        </w:rPr>
        <w:t xml:space="preserve"> для некротомии, планировани</w:t>
      </w:r>
      <w:r>
        <w:rPr>
          <w:szCs w:val="24"/>
        </w:rPr>
        <w:t>я</w:t>
      </w:r>
      <w:r w:rsidRPr="00310550">
        <w:rPr>
          <w:szCs w:val="24"/>
        </w:rPr>
        <w:t xml:space="preserve"> операции, расчет предполагаемой кровопотери</w:t>
      </w:r>
      <w:r>
        <w:rPr>
          <w:szCs w:val="24"/>
        </w:rPr>
        <w:t>.</w:t>
      </w:r>
    </w:p>
    <w:p w14:paraId="2194504F" w14:textId="77777777" w:rsidR="00310550" w:rsidRPr="00BD3219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1D9ACC2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ценивать</w:t>
      </w:r>
      <w:r w:rsidRPr="00310550">
        <w:rPr>
          <w:szCs w:val="24"/>
        </w:rPr>
        <w:t xml:space="preserve"> болево</w:t>
      </w:r>
      <w:r>
        <w:rPr>
          <w:szCs w:val="24"/>
        </w:rPr>
        <w:t>й</w:t>
      </w:r>
      <w:r w:rsidRPr="00310550">
        <w:rPr>
          <w:szCs w:val="24"/>
        </w:rPr>
        <w:t xml:space="preserve"> синдром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26C561F3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310550">
        <w:rPr>
          <w:szCs w:val="24"/>
        </w:rPr>
        <w:t>Пров</w:t>
      </w:r>
      <w:r>
        <w:rPr>
          <w:szCs w:val="24"/>
        </w:rPr>
        <w:t>одить</w:t>
      </w:r>
      <w:r w:rsidRPr="00310550">
        <w:rPr>
          <w:szCs w:val="24"/>
        </w:rPr>
        <w:t xml:space="preserve"> общ</w:t>
      </w:r>
      <w:r>
        <w:rPr>
          <w:szCs w:val="24"/>
        </w:rPr>
        <w:t>ую</w:t>
      </w:r>
      <w:r w:rsidRPr="00310550">
        <w:rPr>
          <w:szCs w:val="24"/>
        </w:rPr>
        <w:t xml:space="preserve"> анестези</w:t>
      </w:r>
      <w:r>
        <w:rPr>
          <w:szCs w:val="24"/>
        </w:rPr>
        <w:t>ю</w:t>
      </w:r>
      <w:r w:rsidRPr="00310550">
        <w:rPr>
          <w:szCs w:val="24"/>
        </w:rPr>
        <w:t xml:space="preserve"> при выполнении перевязок и оперативных вмешательств </w:t>
      </w:r>
      <w:hyperlink r:id="rId11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7D4B6816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310550">
        <w:rPr>
          <w:szCs w:val="24"/>
        </w:rPr>
        <w:t>Определ</w:t>
      </w:r>
      <w:r>
        <w:rPr>
          <w:szCs w:val="24"/>
        </w:rPr>
        <w:t>ять</w:t>
      </w:r>
      <w:r w:rsidRPr="00310550">
        <w:rPr>
          <w:szCs w:val="24"/>
        </w:rPr>
        <w:t xml:space="preserve"> показаний и</w:t>
      </w:r>
      <w:r>
        <w:rPr>
          <w:szCs w:val="24"/>
        </w:rPr>
        <w:t xml:space="preserve"> </w:t>
      </w:r>
      <w:r w:rsidRPr="00310550">
        <w:rPr>
          <w:szCs w:val="24"/>
        </w:rPr>
        <w:t>оптимальных сроков для некротомии, планирование операции</w:t>
      </w:r>
      <w:r>
        <w:rPr>
          <w:szCs w:val="24"/>
        </w:rPr>
        <w:t>.</w:t>
      </w:r>
    </w:p>
    <w:p w14:paraId="50E518C4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 Р</w:t>
      </w:r>
      <w:r w:rsidRPr="00310550">
        <w:rPr>
          <w:szCs w:val="24"/>
        </w:rPr>
        <w:t>ас</w:t>
      </w:r>
      <w:r>
        <w:rPr>
          <w:szCs w:val="24"/>
        </w:rPr>
        <w:t>с</w:t>
      </w:r>
      <w:r w:rsidRPr="00310550">
        <w:rPr>
          <w:szCs w:val="24"/>
        </w:rPr>
        <w:t>ч</w:t>
      </w:r>
      <w:r>
        <w:rPr>
          <w:szCs w:val="24"/>
        </w:rPr>
        <w:t>итывать</w:t>
      </w:r>
      <w:r w:rsidRPr="00310550">
        <w:rPr>
          <w:szCs w:val="24"/>
        </w:rPr>
        <w:t xml:space="preserve"> предполагаем</w:t>
      </w:r>
      <w:r>
        <w:rPr>
          <w:szCs w:val="24"/>
        </w:rPr>
        <w:t>ую</w:t>
      </w:r>
      <w:r w:rsidRPr="00310550">
        <w:rPr>
          <w:szCs w:val="24"/>
        </w:rPr>
        <w:t xml:space="preserve"> кровопотер</w:t>
      </w:r>
      <w:r>
        <w:rPr>
          <w:szCs w:val="24"/>
        </w:rPr>
        <w:t>ю.</w:t>
      </w:r>
    </w:p>
    <w:p w14:paraId="7FF3EBF2" w14:textId="77777777" w:rsidR="00310550" w:rsidRPr="00BD3219" w:rsidRDefault="00310550" w:rsidP="00310550">
      <w:pPr>
        <w:widowControl w:val="0"/>
        <w:jc w:val="center"/>
        <w:rPr>
          <w:szCs w:val="24"/>
        </w:rPr>
      </w:pPr>
    </w:p>
    <w:p w14:paraId="4BAF8D76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8D2CD19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A12FAC5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052B245F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31F0AF4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38F4268E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 xml:space="preserve">проведения анестезии и </w:t>
      </w:r>
      <w:r>
        <w:rPr>
          <w:szCs w:val="24"/>
        </w:rPr>
        <w:lastRenderedPageBreak/>
        <w:t>противошоковых мероприятий</w:t>
      </w:r>
      <w:r w:rsidRPr="00C07A3D">
        <w:rPr>
          <w:szCs w:val="24"/>
        </w:rPr>
        <w:t>;</w:t>
      </w:r>
    </w:p>
    <w:p w14:paraId="0977EF5B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 и карт интенсивной терапии</w:t>
      </w:r>
      <w:r w:rsidRPr="00C07A3D">
        <w:rPr>
          <w:szCs w:val="24"/>
        </w:rPr>
        <w:t>;</w:t>
      </w:r>
    </w:p>
    <w:p w14:paraId="59261A66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5CF9891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1CC08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212CA5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5E8660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F9E39C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41CA74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4AD41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3B678A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A3E73E9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8F166B2" w14:textId="77777777" w:rsidR="00310550" w:rsidRDefault="00310550" w:rsidP="00310550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310550">
        <w:rPr>
          <w:szCs w:val="24"/>
        </w:rPr>
        <w:t>О</w:t>
      </w:r>
      <w:r>
        <w:rPr>
          <w:szCs w:val="24"/>
        </w:rPr>
        <w:t>ценка</w:t>
      </w:r>
      <w:r w:rsidRPr="00310550">
        <w:rPr>
          <w:szCs w:val="24"/>
        </w:rPr>
        <w:t xml:space="preserve"> болевого синдрома у пациентов с обширными ожогами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7FFD8537" w14:textId="77777777" w:rsidR="00310550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310550">
        <w:rPr>
          <w:szCs w:val="24"/>
        </w:rPr>
        <w:t xml:space="preserve">Проведение общей анестезии при выполнении перевязок и оперативных вмешательств </w:t>
      </w:r>
      <w:hyperlink r:id="rId12">
        <w:r w:rsidRPr="00310550">
          <w:rPr>
            <w:rStyle w:val="-"/>
            <w:color w:val="auto"/>
            <w:szCs w:val="24"/>
            <w:u w:val="none"/>
          </w:rPr>
          <w:t xml:space="preserve">у ожоговых пациентов. </w:t>
        </w:r>
      </w:hyperlink>
    </w:p>
    <w:p w14:paraId="3BEC84EB" w14:textId="77777777" w:rsidR="00310550" w:rsidRPr="00860804" w:rsidRDefault="00310550" w:rsidP="0031055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310550">
        <w:rPr>
          <w:szCs w:val="24"/>
        </w:rPr>
        <w:t>Определение показаний и  оптимальных сроков для некротомии, планирование операции, расчет предполагаемой кровопотери</w:t>
      </w:r>
      <w:r>
        <w:rPr>
          <w:szCs w:val="24"/>
        </w:rPr>
        <w:t>.</w:t>
      </w:r>
    </w:p>
    <w:p w14:paraId="7BB4019C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3AEC07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21BA7A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9FC3BA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C89BBD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4AF884E5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B0F11D8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C2C5E5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D2C0566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CD7F31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394CB4A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E478FF3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 xml:space="preserve">–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2-ое изд.–М. : Мед. лит, 2012. – 624 с.: ил.</w:t>
      </w:r>
    </w:p>
    <w:p w14:paraId="1A6A54B7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C40B8A2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9F81BFB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E565336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0C30F16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626C258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7FA6D7B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D46D468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14F99F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5D32A4C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10A5F9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56028769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A11B9A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9382619">
    <w:abstractNumId w:val="4"/>
  </w:num>
  <w:num w:numId="2" w16cid:durableId="1676152869">
    <w:abstractNumId w:val="6"/>
  </w:num>
  <w:num w:numId="3" w16cid:durableId="722145666">
    <w:abstractNumId w:val="5"/>
  </w:num>
  <w:num w:numId="4" w16cid:durableId="940261092">
    <w:abstractNumId w:val="11"/>
  </w:num>
  <w:num w:numId="5" w16cid:durableId="939795648">
    <w:abstractNumId w:val="12"/>
  </w:num>
  <w:num w:numId="6" w16cid:durableId="1143276986">
    <w:abstractNumId w:val="15"/>
  </w:num>
  <w:num w:numId="7" w16cid:durableId="2016573106">
    <w:abstractNumId w:val="14"/>
  </w:num>
  <w:num w:numId="8" w16cid:durableId="870194324">
    <w:abstractNumId w:val="7"/>
  </w:num>
  <w:num w:numId="9" w16cid:durableId="1146512344">
    <w:abstractNumId w:val="0"/>
  </w:num>
  <w:num w:numId="10" w16cid:durableId="1906258459">
    <w:abstractNumId w:val="1"/>
  </w:num>
  <w:num w:numId="11" w16cid:durableId="1677608247">
    <w:abstractNumId w:val="2"/>
  </w:num>
  <w:num w:numId="12" w16cid:durableId="978537496">
    <w:abstractNumId w:val="13"/>
  </w:num>
  <w:num w:numId="13" w16cid:durableId="1691878358">
    <w:abstractNumId w:val="10"/>
  </w:num>
  <w:num w:numId="14" w16cid:durableId="950206730">
    <w:abstractNumId w:val="8"/>
  </w:num>
  <w:num w:numId="15" w16cid:durableId="1860122410">
    <w:abstractNumId w:val="9"/>
  </w:num>
  <w:num w:numId="16" w16cid:durableId="2022124935">
    <w:abstractNumId w:val="3"/>
  </w:num>
  <w:num w:numId="17" w16cid:durableId="1982347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A039F"/>
    <w:rsid w:val="001A0538"/>
    <w:rsid w:val="001B7B2C"/>
    <w:rsid w:val="002331D1"/>
    <w:rsid w:val="00290228"/>
    <w:rsid w:val="00305F5C"/>
    <w:rsid w:val="00310550"/>
    <w:rsid w:val="00327089"/>
    <w:rsid w:val="00335C66"/>
    <w:rsid w:val="00375B49"/>
    <w:rsid w:val="00386E33"/>
    <w:rsid w:val="003B0778"/>
    <w:rsid w:val="00422451"/>
    <w:rsid w:val="00423DA7"/>
    <w:rsid w:val="004534EC"/>
    <w:rsid w:val="00490E51"/>
    <w:rsid w:val="004A0395"/>
    <w:rsid w:val="004A367E"/>
    <w:rsid w:val="005B234F"/>
    <w:rsid w:val="006418E5"/>
    <w:rsid w:val="0064606C"/>
    <w:rsid w:val="00667786"/>
    <w:rsid w:val="00681819"/>
    <w:rsid w:val="00767E0F"/>
    <w:rsid w:val="008159C9"/>
    <w:rsid w:val="00860804"/>
    <w:rsid w:val="00902716"/>
    <w:rsid w:val="009B21DA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E66F7"/>
    <w:rsid w:val="00D07D93"/>
    <w:rsid w:val="00D81698"/>
    <w:rsid w:val="00DA568E"/>
    <w:rsid w:val="00DC136D"/>
    <w:rsid w:val="00DD1AF4"/>
    <w:rsid w:val="00E02372"/>
    <w:rsid w:val="00E338AF"/>
    <w:rsid w:val="00E57D57"/>
    <w:rsid w:val="00EB0401"/>
    <w:rsid w:val="00F4745D"/>
    <w:rsid w:val="00FA089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814C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  <w:style w:type="character" w:customStyle="1" w:styleId="-">
    <w:name w:val="Интернет-ссылка"/>
    <w:basedOn w:val="a0"/>
    <w:uiPriority w:val="99"/>
    <w:semiHidden/>
    <w:unhideWhenUsed/>
    <w:locked/>
    <w:rsid w:val="0031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bstom.ru/docs/index-42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bstom.ru/docs/index-426.html" TargetMode="External"/><Relationship Id="rId12" Type="http://schemas.openxmlformats.org/officeDocument/2006/relationships/hyperlink" Target="http://zubstom.ru/docs/index-4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ubstom.ru/docs/index-426.html" TargetMode="External"/><Relationship Id="rId11" Type="http://schemas.openxmlformats.org/officeDocument/2006/relationships/hyperlink" Target="http://zubstom.ru/docs/index-426.html" TargetMode="External"/><Relationship Id="rId5" Type="http://schemas.openxmlformats.org/officeDocument/2006/relationships/hyperlink" Target="http://zubstom.ru/docs/index-426.html" TargetMode="External"/><Relationship Id="rId10" Type="http://schemas.openxmlformats.org/officeDocument/2006/relationships/hyperlink" Target="http://zubstom.ru/docs/index-4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ubstom.ru/docs/index-42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2018-11-22T11:04:00Z</dcterms:created>
  <dcterms:modified xsi:type="dcterms:W3CDTF">2022-12-26T17:01:00Z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