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7416D" w14:textId="77777777" w:rsidR="00C851DC" w:rsidRPr="005964A3" w:rsidRDefault="00C851DC" w:rsidP="00C851DC">
      <w:pPr>
        <w:widowControl w:val="0"/>
        <w:tabs>
          <w:tab w:val="center" w:pos="4810"/>
          <w:tab w:val="left" w:pos="7524"/>
        </w:tabs>
        <w:autoSpaceDE w:val="0"/>
        <w:autoSpaceDN w:val="0"/>
        <w:jc w:val="center"/>
        <w:rPr>
          <w:sz w:val="28"/>
          <w:szCs w:val="28"/>
        </w:rPr>
      </w:pPr>
      <w:r w:rsidRPr="005964A3">
        <w:rPr>
          <w:sz w:val="28"/>
          <w:szCs w:val="28"/>
        </w:rPr>
        <w:t>МАТЕРИАЛЫ ДЛЯ ИТОГОВОЙ АТТЕСТАЦИИ СЛУШАТЕЛЕЙ</w:t>
      </w:r>
    </w:p>
    <w:p w14:paraId="1E65D38F" w14:textId="77777777" w:rsidR="00C851DC" w:rsidRPr="005964A3" w:rsidRDefault="00C851DC" w:rsidP="00C851DC">
      <w:pPr>
        <w:widowControl w:val="0"/>
        <w:tabs>
          <w:tab w:val="center" w:pos="4810"/>
          <w:tab w:val="left" w:pos="7524"/>
        </w:tabs>
        <w:autoSpaceDE w:val="0"/>
        <w:autoSpaceDN w:val="0"/>
        <w:jc w:val="center"/>
        <w:rPr>
          <w:sz w:val="28"/>
          <w:szCs w:val="28"/>
        </w:rPr>
      </w:pPr>
      <w:r w:rsidRPr="005964A3">
        <w:rPr>
          <w:sz w:val="28"/>
          <w:szCs w:val="28"/>
        </w:rPr>
        <w:t>(дифференцированный зачет)</w:t>
      </w:r>
    </w:p>
    <w:p w14:paraId="4371CA13" w14:textId="77777777" w:rsidR="00C851DC" w:rsidRPr="005964A3" w:rsidRDefault="00C851DC" w:rsidP="00C851DC">
      <w:pPr>
        <w:widowControl w:val="0"/>
        <w:jc w:val="center"/>
        <w:rPr>
          <w:sz w:val="28"/>
          <w:szCs w:val="28"/>
        </w:rPr>
      </w:pPr>
    </w:p>
    <w:p w14:paraId="7F620C6C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Основные направления государственной политики в сфере здравоохранения. Антикоррупционное законодательство. Медицинская этика и деонтология.</w:t>
      </w:r>
    </w:p>
    <w:p w14:paraId="6F837D0C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Взаимная ответственность государства и личности за охрану здоровья человека.</w:t>
      </w:r>
    </w:p>
    <w:p w14:paraId="22613244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Сепсис: определение, эпидемиология и современная терминология.</w:t>
      </w:r>
    </w:p>
    <w:p w14:paraId="05D22CC1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Особенности современной этиологии и патогенеза сепсиса.</w:t>
      </w:r>
    </w:p>
    <w:p w14:paraId="6B0B979E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Диагностические критерии сепсиса.</w:t>
      </w:r>
    </w:p>
    <w:p w14:paraId="36C46862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Диагностические критерии тяжести состояния пациентов с сепсисом.</w:t>
      </w:r>
    </w:p>
    <w:p w14:paraId="27E5454E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Необходимые диагностические и лечебные манипуляции при сепсисе.</w:t>
      </w:r>
    </w:p>
    <w:p w14:paraId="21A082AD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Метаболические реакции на системное повреждение при сепсисе.</w:t>
      </w:r>
    </w:p>
    <w:p w14:paraId="25C1E950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Гемодинамическая поддержка при сепсисе.</w:t>
      </w:r>
    </w:p>
    <w:p w14:paraId="1B2059F6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Алгоритм инфузионного лечения при сепсисе.</w:t>
      </w:r>
    </w:p>
    <w:p w14:paraId="4327F92D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Мониторинг адекватности инфузионной терапии при сепсисе.</w:t>
      </w:r>
    </w:p>
    <w:p w14:paraId="6F8EFFC6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Алгоритм инфузионного лечения в различных клинических ситуациях при интенсивной терапии сепсиса.</w:t>
      </w:r>
    </w:p>
    <w:p w14:paraId="5BF73342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Показания к проведению вазопрессорной и инотропной поддержки при сепсисе.</w:t>
      </w:r>
    </w:p>
    <w:p w14:paraId="35764D35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 xml:space="preserve">Мониторинг адекватности, проводимой вазопрессорной и инотропной поддержки при сепсисе. Возможные осложнения терапии </w:t>
      </w:r>
      <w:proofErr w:type="spellStart"/>
      <w:r w:rsidRPr="005964A3">
        <w:rPr>
          <w:rFonts w:ascii="Times New Roman" w:hAnsi="Times New Roman"/>
          <w:color w:val="auto"/>
          <w:sz w:val="28"/>
          <w:szCs w:val="28"/>
        </w:rPr>
        <w:t>вазопрессорами</w:t>
      </w:r>
      <w:proofErr w:type="spellEnd"/>
      <w:r w:rsidRPr="005964A3">
        <w:rPr>
          <w:rFonts w:ascii="Times New Roman" w:hAnsi="Times New Roman"/>
          <w:color w:val="auto"/>
          <w:sz w:val="28"/>
          <w:szCs w:val="28"/>
        </w:rPr>
        <w:t>.</w:t>
      </w:r>
    </w:p>
    <w:p w14:paraId="167CC91E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Острый респираторный дистресс-синдром: определение, причины его возникновения при сепсисе.</w:t>
      </w:r>
    </w:p>
    <w:p w14:paraId="4C3C35BA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Особенности патофизиологии, клинической картины острого респираторного дистресс-синдрома при сепсисе.</w:t>
      </w:r>
    </w:p>
    <w:p w14:paraId="3CE5F264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Мониторинг, необходимые диагностические и лечебные манипуляции острого респираторного дистресс-синдрома при сепсисе.</w:t>
      </w:r>
    </w:p>
    <w:p w14:paraId="5C90CDA7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Выбор режимов и принципы подбора параметров искусственной вентиляции легких при сепсисе.</w:t>
      </w:r>
    </w:p>
    <w:p w14:paraId="3A2E6C04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Критерии эффективности и адекватности респираторной поддержки при сепсисе.</w:t>
      </w:r>
    </w:p>
    <w:p w14:paraId="21F2A1F5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Причины и механизм развития полиорганной недостаточности при сепсисе.</w:t>
      </w:r>
    </w:p>
    <w:p w14:paraId="743BF8EF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Критерии органо-системной недостаточности при сепсисе.</w:t>
      </w:r>
    </w:p>
    <w:p w14:paraId="3BC9ED39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Патология сердечно-сосудистой системы при сепсисе. Коррекция и профилактика.</w:t>
      </w:r>
    </w:p>
    <w:p w14:paraId="4C9E7C0C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Острая почечная недостаточность, механизм развития при сепсисе.</w:t>
      </w:r>
    </w:p>
    <w:p w14:paraId="7709B81D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 xml:space="preserve">Профилактика и интенсивная терапия острой почечной </w:t>
      </w:r>
      <w:r w:rsidRPr="005964A3">
        <w:rPr>
          <w:rFonts w:ascii="Times New Roman" w:hAnsi="Times New Roman"/>
          <w:color w:val="auto"/>
          <w:sz w:val="28"/>
          <w:szCs w:val="28"/>
        </w:rPr>
        <w:lastRenderedPageBreak/>
        <w:t>недостаточности при сепсисе.</w:t>
      </w:r>
    </w:p>
    <w:p w14:paraId="4AE935FB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Септическая энцефалопатия: причины, механизмы развития.</w:t>
      </w:r>
    </w:p>
    <w:p w14:paraId="6FC8CB5A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Нарушения со стороны желудочно-кишечного тракта при сепсисе, методы коррекции.</w:t>
      </w:r>
    </w:p>
    <w:p w14:paraId="052E2E7D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Тромбоэмболические осложнения сепсиса.</w:t>
      </w:r>
    </w:p>
    <w:p w14:paraId="57BA2F60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Профилактика септических тромбоэмболических осложнений.</w:t>
      </w:r>
    </w:p>
    <w:p w14:paraId="1CB85809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Профилактика и интенсивная терапия синдрома диссеминированного внутрисосудистого свертывания при сепсисе.</w:t>
      </w:r>
    </w:p>
    <w:p w14:paraId="671602CC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Принципы лечения и профилактики полиорганной недостаточности при сепсисе.</w:t>
      </w:r>
    </w:p>
    <w:p w14:paraId="5276286C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Патофизиология и клиническая картина септического шока.</w:t>
      </w:r>
    </w:p>
    <w:p w14:paraId="19F988AF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Стадии септического шока.</w:t>
      </w:r>
    </w:p>
    <w:p w14:paraId="14FD6610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Интенсивная терапия септического шока.</w:t>
      </w:r>
    </w:p>
    <w:p w14:paraId="58412809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Мониторинг интенсивной терапии при сепсисе и септическом шоке.</w:t>
      </w:r>
    </w:p>
    <w:p w14:paraId="56A9D243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 xml:space="preserve">Принципы </w:t>
      </w:r>
      <w:proofErr w:type="spellStart"/>
      <w:r w:rsidRPr="005964A3">
        <w:rPr>
          <w:rFonts w:ascii="Times New Roman" w:hAnsi="Times New Roman"/>
          <w:color w:val="auto"/>
          <w:sz w:val="28"/>
          <w:szCs w:val="28"/>
        </w:rPr>
        <w:t>нутритивной</w:t>
      </w:r>
      <w:proofErr w:type="spellEnd"/>
      <w:r w:rsidRPr="005964A3">
        <w:rPr>
          <w:rFonts w:ascii="Times New Roman" w:hAnsi="Times New Roman"/>
          <w:color w:val="auto"/>
          <w:sz w:val="28"/>
          <w:szCs w:val="28"/>
        </w:rPr>
        <w:t xml:space="preserve"> поддержке при сепсисе, показания и противопоказания.</w:t>
      </w:r>
    </w:p>
    <w:p w14:paraId="4BF42AE2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 xml:space="preserve">Парентеральное и </w:t>
      </w:r>
      <w:proofErr w:type="spellStart"/>
      <w:r w:rsidRPr="005964A3">
        <w:rPr>
          <w:rFonts w:ascii="Times New Roman" w:hAnsi="Times New Roman"/>
          <w:color w:val="auto"/>
          <w:sz w:val="28"/>
          <w:szCs w:val="28"/>
        </w:rPr>
        <w:t>энтерально</w:t>
      </w:r>
      <w:proofErr w:type="spellEnd"/>
      <w:r w:rsidRPr="005964A3">
        <w:rPr>
          <w:rFonts w:ascii="Times New Roman" w:hAnsi="Times New Roman"/>
          <w:color w:val="auto"/>
          <w:sz w:val="28"/>
          <w:szCs w:val="28"/>
        </w:rPr>
        <w:t>-парентеральное питание при сепсисе.</w:t>
      </w:r>
    </w:p>
    <w:p w14:paraId="711DF212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 xml:space="preserve">Критерии эффективности </w:t>
      </w:r>
      <w:proofErr w:type="spellStart"/>
      <w:r w:rsidRPr="005964A3">
        <w:rPr>
          <w:rFonts w:ascii="Times New Roman" w:hAnsi="Times New Roman"/>
          <w:color w:val="auto"/>
          <w:sz w:val="28"/>
          <w:szCs w:val="28"/>
        </w:rPr>
        <w:t>нутритивной</w:t>
      </w:r>
      <w:proofErr w:type="spellEnd"/>
      <w:r w:rsidRPr="005964A3">
        <w:rPr>
          <w:rFonts w:ascii="Times New Roman" w:hAnsi="Times New Roman"/>
          <w:color w:val="auto"/>
          <w:sz w:val="28"/>
          <w:szCs w:val="28"/>
        </w:rPr>
        <w:t xml:space="preserve"> поддержки, профилактика возможных осложнений.</w:t>
      </w:r>
    </w:p>
    <w:p w14:paraId="24DC91CE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Применение экстракорпоральной детоксикации в интенсивной терапии сепсиса.</w:t>
      </w:r>
    </w:p>
    <w:p w14:paraId="3CD249A7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Этиотропное лечение сепсиса.</w:t>
      </w:r>
    </w:p>
    <w:p w14:paraId="6A605FE3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Этиологическая диагностика сепсиса.</w:t>
      </w:r>
    </w:p>
    <w:p w14:paraId="0E4B679A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Эмпирическое антимикробное лечение сепсиса.</w:t>
      </w:r>
    </w:p>
    <w:p w14:paraId="7DD23424" w14:textId="77777777" w:rsidR="00C851DC" w:rsidRPr="005964A3" w:rsidRDefault="00C851DC" w:rsidP="00C851DC">
      <w:pPr>
        <w:pStyle w:val="a3"/>
        <w:widowControl w:val="0"/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64A3">
        <w:rPr>
          <w:rFonts w:ascii="Times New Roman" w:hAnsi="Times New Roman"/>
          <w:color w:val="auto"/>
          <w:sz w:val="28"/>
          <w:szCs w:val="28"/>
        </w:rPr>
        <w:t>Критерии эффективности и продолжительность антибактериальной терапии сепсиса.</w:t>
      </w:r>
    </w:p>
    <w:p w14:paraId="042747F0" w14:textId="77777777" w:rsidR="00C851DC" w:rsidRPr="005964A3" w:rsidRDefault="00C851DC" w:rsidP="00C851DC">
      <w:pPr>
        <w:widowControl w:val="0"/>
        <w:tabs>
          <w:tab w:val="center" w:pos="4810"/>
          <w:tab w:val="left" w:pos="7524"/>
        </w:tabs>
        <w:autoSpaceDE w:val="0"/>
        <w:autoSpaceDN w:val="0"/>
        <w:ind w:firstLine="709"/>
        <w:jc w:val="both"/>
        <w:rPr>
          <w:i/>
          <w:sz w:val="28"/>
          <w:szCs w:val="28"/>
        </w:rPr>
      </w:pPr>
    </w:p>
    <w:p w14:paraId="529A8C5F" w14:textId="77777777" w:rsidR="003A07E1" w:rsidRDefault="003A07E1">
      <w:bookmarkStart w:id="0" w:name="_GoBack"/>
      <w:bookmarkEnd w:id="0"/>
    </w:p>
    <w:sectPr w:rsidR="003A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17194"/>
    <w:multiLevelType w:val="multilevel"/>
    <w:tmpl w:val="1CB17194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A0"/>
    <w:rsid w:val="000760A0"/>
    <w:rsid w:val="003A07E1"/>
    <w:rsid w:val="00967FFB"/>
    <w:rsid w:val="00C851DC"/>
    <w:rsid w:val="00D3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E1A4F-4E0C-473D-91E7-B6F27AFD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1DC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2023-10-01T18:54:00Z</dcterms:created>
  <dcterms:modified xsi:type="dcterms:W3CDTF">2023-10-01T18:54:00Z</dcterms:modified>
</cp:coreProperties>
</file>