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4A" w:rsidRDefault="0024794A" w:rsidP="0024794A">
      <w:pPr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</w:rPr>
        <w:t>УЧЕБНО-МЕТОДИЧЕСКИЕ МАТЕРИАЛЫ И РЕКОМЕНДАЦИИ ПО САМОСТОЯТЕЛЬНОЙ РАБОТЕ И КОНТРОЛЮ ЗНАНИЙ СТУДЕНТОВ</w:t>
      </w:r>
    </w:p>
    <w:p w:rsidR="0024794A" w:rsidRDefault="0024794A" w:rsidP="0024794A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4794A" w:rsidRDefault="0024794A" w:rsidP="0024794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 Рекомендации по организации самостоятельной работы студентов (СРС)</w:t>
      </w:r>
    </w:p>
    <w:p w:rsidR="0024794A" w:rsidRDefault="0024794A" w:rsidP="0024794A">
      <w:pPr>
        <w:pStyle w:val="Style5"/>
        <w:widowControl/>
        <w:ind w:firstLine="720"/>
        <w:jc w:val="both"/>
        <w:rPr>
          <w:rStyle w:val="FontStyle38"/>
          <w:sz w:val="28"/>
          <w:szCs w:val="28"/>
        </w:rPr>
      </w:pPr>
      <w:r>
        <w:rPr>
          <w:sz w:val="28"/>
          <w:szCs w:val="28"/>
        </w:rPr>
        <w:t xml:space="preserve">Важной внеаудиторной формой учебной работы, а для студентов заочной формы обучения и основной в структуре затрат учебного времени является </w:t>
      </w:r>
      <w:r>
        <w:rPr>
          <w:b/>
          <w:bCs/>
          <w:i/>
          <w:iCs/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. </w:t>
      </w:r>
      <w:r>
        <w:rPr>
          <w:rStyle w:val="FontStyle38"/>
          <w:sz w:val="28"/>
          <w:szCs w:val="28"/>
        </w:rPr>
        <w:t>Самостоятельная работа студентов организуется кафедрой в соответствии с Положением о самостоятельной работе студентов, утвержденным Министерством образования Республики Беларусь и Положением о самостоятельной работе студентов УО «ВГМУ». Кафедра разрабатывает и совершенствует формы и содержание самостоятельной работы студентов заочного отделения с учетом профиля обучения и требований будущей профессиональной деятельности студентов.</w:t>
      </w:r>
    </w:p>
    <w:p w:rsidR="0024794A" w:rsidRDefault="0024794A" w:rsidP="0024794A">
      <w:pPr>
        <w:pStyle w:val="Style9"/>
        <w:widowControl/>
        <w:ind w:firstLine="720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Содержание и формы самостоятельной работы студентов разрабатываются (или выбираются и адаптируются) кафедрой социально-гуманитарных наук в соответствии с целями и задачами интегрированного модуля, научно-методическими предпочтениями и профессиональным опытом преподавателя.</w:t>
      </w:r>
    </w:p>
    <w:p w:rsidR="0024794A" w:rsidRDefault="0024794A" w:rsidP="0024794A">
      <w:pPr>
        <w:ind w:firstLine="72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В процессе самостоятельной работы студент углубляет и осмысливает полученные знания, а также приобретает новые знания на основе анализа и обобщения учебного материала. Данная форма работы служит усвоению вопросов и тем, представленных программой для самостоятельного изучения, подготовки к семинарским занятиям, проработки, подготовки докладов, устных сообщений, рефератов и подготовка к аудиторной контрольной работе и экзамену. Одним из главных методов самостоятельной работы является работа с литературой, в процессе которой студент составляет конспект, где кратко излагает суть изучаемых проблем, дает определения тем или иным категориям и понятиям, отражает сущность различных позиций, делает собственные замечания и т. п. Самостоятельная работа – важный составной элемент будущей профессиональной деятельности студента.</w:t>
      </w:r>
    </w:p>
    <w:p w:rsidR="0024794A" w:rsidRDefault="0024794A" w:rsidP="0024794A">
      <w:pPr>
        <w:pStyle w:val="Style9"/>
        <w:widowControl/>
        <w:ind w:firstLine="720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Наиболее эффективными формами и методами организации самостоятельной работы студентов являются также: выполнение тестовых заданий, решение проблемных ситуаций и задач, а также выполнение творческих заданий (анализ текстов первоисточников и научных статей, составление на них аннотаций, рецензий; написание рефератов и эссе; др.).</w:t>
      </w:r>
    </w:p>
    <w:p w:rsidR="0024794A" w:rsidRDefault="0024794A" w:rsidP="0024794A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Важной формой работы над усвоением курса является </w:t>
      </w:r>
      <w:r>
        <w:rPr>
          <w:rFonts w:ascii="Times New Roman" w:hAnsi="Times New Roman" w:cs="Times New Roman"/>
          <w:b/>
          <w:bCs/>
          <w:i/>
          <w:iCs/>
        </w:rPr>
        <w:t>реферат.</w:t>
      </w:r>
      <w:r>
        <w:rPr>
          <w:rFonts w:ascii="Times New Roman" w:hAnsi="Times New Roman" w:cs="Times New Roman"/>
        </w:rPr>
        <w:t xml:space="preserve"> Предлагаемые для написания рефераты носят учебно-исследовательский характер, способствуют усвоению с</w:t>
      </w:r>
      <w:r>
        <w:rPr>
          <w:rFonts w:ascii="Times New Roman" w:hAnsi="Times New Roman" w:cs="Times New Roman"/>
          <w:color w:val="000000"/>
          <w:spacing w:val="4"/>
        </w:rPr>
        <w:t>одержания дисциплины.</w:t>
      </w:r>
    </w:p>
    <w:p w:rsidR="0024794A" w:rsidRDefault="0024794A" w:rsidP="0024794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помощью этой формы изучения учебного материала студент учится анализировать, систематизировать учебный материал и излагать полученные знания в письменной форме. Работа по написанию реферата начинается с уяснения студентом темы и составления плана будущего реферата, а также определения той области изучаемого материала, которой будет достаточно для </w:t>
      </w:r>
      <w:r>
        <w:rPr>
          <w:rFonts w:ascii="Times New Roman" w:hAnsi="Times New Roman" w:cs="Times New Roman"/>
        </w:rPr>
        <w:lastRenderedPageBreak/>
        <w:t>раскрытия темы. Вторым этапом работы над рефератом является работа с литературой, которая заключается в подборе и проработке той литературы, с помощью которой можно наиболее полно раскрыть все вопросы выбранной темы. Параллельно с проработкой литературы идет этап осмысления и систематизации студентом полученных знаний, после чего они излагаются в письменном виде: Следует обратить внимание студента на то, что такая форма изложения материала не всегда сразу приобретает законченные и совершенные формы. Часто необходимо сделать предварительные наброски, чтобы потом с их помощью получить уже законченную и полную версию. Структура реферата:</w:t>
      </w:r>
    </w:p>
    <w:p w:rsidR="0024794A" w:rsidRDefault="0024794A" w:rsidP="0024794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Титульный лист </w:t>
      </w:r>
    </w:p>
    <w:p w:rsidR="0024794A" w:rsidRDefault="0024794A" w:rsidP="0024794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План (состоящий из введения, вопросов основной части, заключения, списка литературы, а также страниц, с которых начинаются эти разделы реферата).</w:t>
      </w:r>
    </w:p>
    <w:p w:rsidR="0024794A" w:rsidRDefault="0024794A" w:rsidP="0024794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Введение, в котором автор вводит читателя в курс анализируемых проблем, ставит цели, которые он собирается достигнуть; определяет задачи, которые будут решаться, а также указывает на методы их решения.</w:t>
      </w:r>
    </w:p>
    <w:p w:rsidR="0024794A" w:rsidRDefault="0024794A" w:rsidP="0024794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Основная часть, в которой идет собственно изложение и раскрытие вопросов темы и решение поставленных задач.</w:t>
      </w:r>
    </w:p>
    <w:p w:rsidR="0024794A" w:rsidRDefault="0024794A" w:rsidP="0024794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Заключение, в котором студент делает выводы, проводит сравнения и обобщения, высказывает собственные суждения по тем или иным проблемам, рассматриваемым в работе.</w:t>
      </w:r>
    </w:p>
    <w:p w:rsidR="0024794A" w:rsidRDefault="0024794A" w:rsidP="0024794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Список литературы, использованной при написании реферата, приводится в конце и размещается в алфавитном порядке. Следует обратить внимание на оформление каждого из изданий в соответствии с библиографическими требованиями.</w:t>
      </w:r>
    </w:p>
    <w:p w:rsidR="0024794A" w:rsidRDefault="0024794A" w:rsidP="0024794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страницы реферата должны быть пронумерованы, за исключение титульного листа, который считается за первую страницу. При использовании цитат делаются сноски: или непосредственно в тексте, или внизу страницы, или в конце реферата. Следует также обратить внимание на правильность их оформления. Объем учебного реферата составляет 8– 10 страниц печатного (30 строк на страницу и 60 знаков в строке) текста. Основные требования к реферату: правильное оформление, должна быть полностью раскрыта выбранная тема, вместе с тем он не должен выходить за ее рамки, логическая стройность и последовательность изложения, хороший стиль, должна присутствовать самостоятельность мышления студента.</w:t>
      </w:r>
    </w:p>
    <w:p w:rsidR="0024794A" w:rsidRDefault="0024794A" w:rsidP="0024794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самостоятельной работы студентов является повышение конкурентоспособности выпускников вузов посредством формирования у них компетенций самообразования.</w:t>
      </w:r>
    </w:p>
    <w:p w:rsidR="0024794A" w:rsidRDefault="0024794A" w:rsidP="0024794A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24794A" w:rsidRDefault="0024794A" w:rsidP="0024794A">
      <w:pPr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 xml:space="preserve">2. Тематика докладов и рефератов </w:t>
      </w:r>
    </w:p>
    <w:p w:rsidR="0024794A" w:rsidRDefault="0024794A" w:rsidP="0024794A">
      <w:pPr>
        <w:pStyle w:val="a5"/>
        <w:spacing w:after="0"/>
        <w:ind w:left="0"/>
        <w:jc w:val="both"/>
        <w:rPr>
          <w:rStyle w:val="FontStyle38"/>
        </w:rPr>
      </w:pPr>
    </w:p>
    <w:p w:rsidR="0024794A" w:rsidRDefault="0024794A" w:rsidP="0024794A">
      <w:pPr>
        <w:pStyle w:val="a5"/>
        <w:spacing w:after="0"/>
        <w:ind w:left="0"/>
        <w:jc w:val="both"/>
        <w:rPr>
          <w:rFonts w:cs="Times New Roman"/>
        </w:rPr>
      </w:pPr>
      <w:r>
        <w:rPr>
          <w:rStyle w:val="FontStyle38"/>
          <w:b/>
          <w:bCs/>
        </w:rPr>
        <w:t>Философия в исторической динамике культуры</w:t>
      </w:r>
    </w:p>
    <w:p w:rsidR="0024794A" w:rsidRDefault="0024794A" w:rsidP="0024794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как мировоззрение.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и мифология.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и политика.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и религия.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и наука.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в системе культуры.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Личность философа (философия как образ жизни).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Национальное и общечеловеческое в философии.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Древнекитайская философия и медицина о человеке.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Йога о психическом и физическом здоровье человека.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спасения в буддизме.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космоса в античной философии.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Диалектика и логика античности.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Негативная диалектика софистов.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Сократ и предметное самоопределение философии.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Античная философия и медицина.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Платона в истории философии.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 государства Платона.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Конфуций и его философия.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Пифагор и пифагорейцы.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Философский синтез Аристотеля.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Этика Аристотеля.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Этические учения в эллинистической философии.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Крушение античного мира: причины и последствия.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Христианство и культура Средневековья.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универсалий в средневековой философии.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Алхимия как феномен средневековой культуры.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Аристотель и средневековье.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в зеркале схоластики.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Византийская философия и православие.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 и разум в средневековой философии.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Ибн Сина — философ и врач.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Своеобразие философии арабского Востока.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Итальянские гуманисты 14-15 веков.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Политическая доктрина Макиавелли.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 и природа у Н.Кузанского.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Этико-социальные воззрения М.Монтеня. «Опыты».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природы и искусства в творчестве Леонардо да Винчи.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Религиозно-мистическая философия человека у Паскаля.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Парацельс: алхимия или медик.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Концепция гражданского общества в философии Нового времени.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метода: Ф.Бэкон и Р.Декарт.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Пантеизм Б.Спинозы.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И.Кант и его роль в истории мировой философии.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Гегель и гегельянство.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Судьбы марксизма в философии ХХ века.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Н.Федоров и философия «общего дела».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космизм — уникальное явление мировой культуры.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всеединства Вл.Соловьева.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соборности в русской философии.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Судьбы философии в истории русской культуры.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Славянофильство и западничество: история и современность.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Проблемы философии в творчестве русских писателей.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сознания в русской религиозной философии.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Сущность и ведущие мотивы русской философии.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Философская мысль эпохи Возрождения в Беларуси.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К.Лышчинский — философия и жизнь.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Философские взгляды С.Будного и их влияние на европейскую культуру.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Социнианство в Беларуси. 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Социально-философская мысль и национально-освободительное движение (К.Калиновский, Ф.Богушевич).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Бунтующий человек в философии А. Камю.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по ту сторону добра и зла (Ф. Ницше).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истории К. Маркса.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Загадка человеческого «Я» в психоанализе З. Фрейда.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Психоаналитические концепции в современной философии и медицине.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Критический рационализм и социальная философия К. Поппера.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и категории структурализма.</w:t>
      </w:r>
    </w:p>
    <w:p w:rsidR="0024794A" w:rsidRDefault="0024794A" w:rsidP="0024794A">
      <w:pPr>
        <w:pStyle w:val="a5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Постпозитивистские модели динамики научного знания (Т.Кун, Локатос, Фейерабенд).</w:t>
      </w:r>
    </w:p>
    <w:p w:rsidR="0024794A" w:rsidRDefault="0024794A" w:rsidP="0024794A">
      <w:pPr>
        <w:pStyle w:val="Style9"/>
        <w:widowControl/>
        <w:outlineLvl w:val="0"/>
        <w:rPr>
          <w:rStyle w:val="FontStyle38"/>
          <w:b/>
          <w:bCs/>
          <w:sz w:val="28"/>
          <w:szCs w:val="28"/>
        </w:rPr>
      </w:pPr>
    </w:p>
    <w:p w:rsidR="0024794A" w:rsidRDefault="0024794A" w:rsidP="0024794A">
      <w:pPr>
        <w:pStyle w:val="Style9"/>
        <w:widowControl/>
        <w:outlineLvl w:val="0"/>
        <w:rPr>
          <w:rStyle w:val="FontStyle38"/>
          <w:sz w:val="28"/>
          <w:szCs w:val="28"/>
        </w:rPr>
      </w:pPr>
      <w:r>
        <w:rPr>
          <w:rStyle w:val="FontStyle38"/>
          <w:b/>
          <w:bCs/>
          <w:sz w:val="28"/>
          <w:szCs w:val="28"/>
        </w:rPr>
        <w:t>Основные проблемы современной философии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Соотношение категорий «материя» и «субстанция».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Эволюция понятия материи в философии и науке.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Философские и научные картины мира: единство и различие.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Философское решение проблемы бытия: зеркало мировоззрения эпохи.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Бытие и небытие — два возможных принципа философствования.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бытия  философии М. Хайдеггера.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концепции пространства и времени.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и время.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Социальное пространство и время.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Диалектика и ее альтернативы.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Синергетика и концепция глобального эволюционизма в современной науке.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Структура, формы и функции практики в процессе познания.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Специфика заблуждения в познании, пути их преодоления.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критерия истины в философии и науке.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Специфика клинического мышления.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Сознание и бессознательное.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сознания в философии Востока.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философии в научном исследовании.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постнеклассической науки.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Вненаучное знание и его формы.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Смысл и истоки научных революций.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Философские основания науки.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Этика и социальная ответственность ученого.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Философско-этическая концепция А. Швейцера.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Учение о ноосфере В.Вернадского.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Феномен человека у Т. де Шардена.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Глобальные проблемы, их суть и пути разрешения.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Футурология: ее возможности и пределы.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и экологические императивы современности.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информационной цивилизации.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Глобальные проблемы и общечеловеческие ценности.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компьютерной революции.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Сознание как свойство всей системы «человек – мир».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Нравственный смысл ориентации на «жизнь».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Специфика понимания личности в разных типах культур.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свободы личности.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Кризис личности на рубеже 20-21 веков.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Нравственные поиски современного общества.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диалога культур: Запад и Восток.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Культура и цивилизация.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Национальное и общечеловеческое в культуре.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Концепция истины и ее значение в современной науке.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Эволюция вселенной в свете современных естественнонаучных представлений и их философская интерпретация.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Сознание и мозг в свете философии и современных данных науки.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 и объект познания, их взаимосвязь.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Диалектика как учение о всеобщей связи и единстве противоположностей.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Детерминизм как философская концепция.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и место системного подхода в современном научном познании.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логического мышления и их роль в научном познании.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Абсолютность и относительность критерия практики в познании.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Описание, объяснение и понимание в научном познании.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Природа эмпирического знания, его возможность и границы.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Наблюдение и эксперимент как методы научного познания.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Соотношение теории и эксперимента в современной медицине и фармации.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современной науки.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Мысленный эксперимент и его возможности.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Гипотеза как форма развития научного знания.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Познавательные возможности моделирования.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Анализ и синтез в научном познании.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аналогии в познании.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интуиции в познании и творчестве.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философского мировоззрения ученого в научных исследованиях.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и логическое, их единство в научном познании.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Философские проблемы теории творчества.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Творческое воображение и научные открытия.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Соотношение фундаментальных и прикладных исследований.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Специфика познания социальных явлений.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Формационный и цивилизационный подходы к анализу общества.</w:t>
      </w:r>
    </w:p>
    <w:p w:rsidR="0024794A" w:rsidRDefault="0024794A" w:rsidP="0024794A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критериев общественного прогресса.</w:t>
      </w:r>
    </w:p>
    <w:p w:rsidR="0024794A" w:rsidRDefault="0024794A" w:rsidP="0024794A">
      <w:pPr>
        <w:pStyle w:val="a5"/>
        <w:spacing w:after="0"/>
        <w:ind w:left="0"/>
        <w:rPr>
          <w:rFonts w:ascii="Times New Roman" w:hAnsi="Times New Roman" w:cs="Times New Roman"/>
          <w:b/>
          <w:bCs/>
        </w:rPr>
      </w:pPr>
    </w:p>
    <w:p w:rsidR="0024794A" w:rsidRDefault="0024794A" w:rsidP="0024794A">
      <w:pPr>
        <w:pStyle w:val="a5"/>
        <w:spacing w:after="0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Философские проблемы медицины и фармации 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Фармацевтические науки, их специфика и становление.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Медицина Запада и Востока: общее и особенное.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Генная инженерия: нравственно-философский аспект.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Техника, культура, человек.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и медицинские технологии.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Медицинский и нравственно-философский смысл жизни, смерти и бессмертия.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специфике биологической формы движения материи.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целостности в живой природе.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Философские проблемы происхождения жизни.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Философские вопросы сущности жизни.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Материальная обусловленность специфических особенностей жизни и критика современного витализма.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Диалектика единства и многообразия форм проявления жизни.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Диалектика уровней организации живой природы.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целесообразности в живой природе.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Взаимосвязь структурной и функциональной организации живых систем.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Философские вопросы современной генетики.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Диалектика преемственности и новообразований в биологической эволюции.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Методологическое значение категорий возможности и действительности для биофармацевтических исследований.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Методологическое значение категорий необходимости и случайности в биологии и фармации.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Философские проблемы научного познания деятельности мозга.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сознательного и бессознательного в психологии и медицине.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наблюдения и эксперимента в биомедицинских исследованиях.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Гносеологические проблемы моделирования биологических систем как способа их исследования.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и роль математических и физико-химических методов в медико-биологических исследованиях.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Диалектика соотношения исторического и структурно-функционального методов познания живой природы.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Взаимосвязь организма и среды как философская проблема.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Прогресс в живой природе, его основные черты и критерии.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Противоречивое единство прогресса и регресса в развитии биосистем.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Усложнение форм отражения в процессе биологической эволюции.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Соотношение биологического и социального в человеке.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Философский анализ проблемы жизни в космосе.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Целостность и дискретность организации живых систем.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проявления закона отрицания в живой природе.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Пространственно-временная организация живых систем.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концепции развития и их проявление в биологии.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Современная идейная борьба вокруг эволюционной теории, ее философское содержание и социальная направленность.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Биологический эволюционизм и диалектика.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Социокультурные функции современной фармации.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Современная наука и проблемы комплексного исследования человека.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Проблемы методологии медико-биологического исследования.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взаимодействия техники и биосферы.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 единства отражения и деятельности в биологии.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и роль информационных технологий в современной фармации.</w:t>
      </w:r>
    </w:p>
    <w:p w:rsidR="0024794A" w:rsidRDefault="0024794A" w:rsidP="0024794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Здоровье в иерархии ценностей.</w:t>
      </w:r>
    </w:p>
    <w:p w:rsidR="0024794A" w:rsidRDefault="0024794A" w:rsidP="0024794A">
      <w:pPr>
        <w:pStyle w:val="a5"/>
        <w:rPr>
          <w:rFonts w:ascii="Times New Roman" w:hAnsi="Times New Roman" w:cs="Times New Roman"/>
        </w:rPr>
      </w:pPr>
    </w:p>
    <w:p w:rsidR="0024794A" w:rsidRDefault="0024794A" w:rsidP="002479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Аудиторная контрольная работа </w:t>
      </w:r>
    </w:p>
    <w:p w:rsidR="0024794A" w:rsidRDefault="0024794A" w:rsidP="0024794A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24794A" w:rsidRDefault="0024794A" w:rsidP="0024794A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3.1. Методические рекомендации по написанию контрольной работы</w:t>
      </w:r>
    </w:p>
    <w:p w:rsidR="0024794A" w:rsidRDefault="0024794A" w:rsidP="0024794A">
      <w:pPr>
        <w:shd w:val="clear" w:color="auto" w:fill="FFFFFF"/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Важной эвристической формой изучения предмета и   формой контроля за самостоятельной работой студента является подготовка и написание </w:t>
      </w:r>
      <w:r>
        <w:rPr>
          <w:rFonts w:ascii="Times New Roman" w:hAnsi="Times New Roman" w:cs="Times New Roman"/>
          <w:b/>
          <w:bCs/>
          <w:i/>
          <w:iCs/>
        </w:rPr>
        <w:t>аудиторной контрольной работы.</w:t>
      </w:r>
    </w:p>
    <w:p w:rsidR="0024794A" w:rsidRDefault="0024794A" w:rsidP="0024794A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Данная контрольная работа выполняется студентом в аудиторное учебное время, отведенное на изучение дисциплины. Аудиторная контрольная работа призвана закрепить и проконтролировать управляемую самостоятельную работу студента по изучению программных вопросов учебной дисциплины. </w:t>
      </w:r>
    </w:p>
    <w:p w:rsidR="0024794A" w:rsidRDefault="0024794A" w:rsidP="0024794A">
      <w:pPr>
        <w:shd w:val="clear" w:color="auto" w:fill="FFFFFF"/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Тематика аудиторных контрольных работ составлена на основании программы учебной дисциплины. Конкретную тему контрольной работы каждому студенту, порядок ее оформления и написания определяет преподаватель. </w:t>
      </w:r>
    </w:p>
    <w:p w:rsidR="0024794A" w:rsidRDefault="0024794A" w:rsidP="0024794A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24794A" w:rsidRDefault="0024794A" w:rsidP="0024794A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be-BY"/>
        </w:rPr>
        <w:t>3.2</w:t>
      </w:r>
      <w:r>
        <w:rPr>
          <w:rFonts w:ascii="Times New Roman" w:hAnsi="Times New Roman" w:cs="Times New Roman"/>
          <w:b/>
          <w:bCs/>
        </w:rPr>
        <w:t>. Тематика аудиторных контрольных работ</w:t>
      </w:r>
      <w:bookmarkStart w:id="0" w:name="_GoBack"/>
      <w:bookmarkEnd w:id="0"/>
    </w:p>
    <w:p w:rsidR="0024794A" w:rsidRDefault="0024794A" w:rsidP="0024794A">
      <w:pPr>
        <w:ind w:firstLine="7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мировоззрения. Структура мировоззрения.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Исторические типы мировоззрения. 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Общее и особенное в мифе, религии, философии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Своеобразие философского осмысления мира. 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основного вопроса философии.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Материализм и его разновидности.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Идеализм и его разновидности.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Своеобразие и основные школы философии Древнего Китая 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Древней Индии, ее характер и основные школы.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Античная философия. Основные проблемы и школы.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Европейская средневековая философия: основные направления.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Характерные черты философии Возрождения.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Рационализм и эмпиризм в философии Нового времени.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И.Канта и ее роль в истории мировой философии.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Объективный идеализм и диалектика Г.В.Ф.Гегеля.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этапы развития и своеобразие проблем русской философии. 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Зарождение, своеобразие и развитие философской мысли в Беларуси.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Иррационалистические философские учения.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Психоаналитическая философия.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Марксистская философия.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Экзистенциальная   философия.   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Позитивистская традиция в европейской философии: основные этапы и проблемы.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Феноменология и герменевтика.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постмодернизма.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Онтология как учение о бытии. 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материи и его эволюция в истории философии.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Движение и покой как способы бытия. 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Пространство и время как формы бытия.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Диалектика как философская концепция развития. Основные принципы диалектики.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 и законы диалектики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природы. Естественная и искусственная среда обитания человека.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Современная наука и философия о предпосылках и основаниях человеческого сознания: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человека  в  истории  философии: основные  подходы  и  этапы рассмотрения.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Природное, социальное, духовное в человеке –  варианты решения проблемы.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Понятия человек, индивид,  личность.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 как способ существования человека, ее основания, структура и основные виды.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познаваемости мира. Варианты ее решения в истории философии.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Структура   познавательного процесса. 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и его виды.  Основные концепции истины в философии.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Своеобразие научного познания.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Эмпирический и теоретический уровни научного познания. 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научного познания: факт, проблема, гипотеза, теория, научная картина мира.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методов научного познания (общелогические, методы эмпирического и теоретического исследования).</w:t>
      </w:r>
    </w:p>
    <w:p w:rsidR="0024794A" w:rsidRDefault="0024794A" w:rsidP="0024794A">
      <w:pPr>
        <w:pStyle w:val="a7"/>
        <w:numPr>
          <w:ilvl w:val="0"/>
          <w:numId w:val="5"/>
        </w:numPr>
        <w:ind w:right="-1"/>
        <w:rPr>
          <w:sz w:val="28"/>
          <w:szCs w:val="28"/>
        </w:rPr>
      </w:pPr>
      <w:r>
        <w:rPr>
          <w:sz w:val="28"/>
          <w:szCs w:val="28"/>
        </w:rPr>
        <w:t>Основные подходы к пониманию общества в истории философии.</w:t>
      </w:r>
    </w:p>
    <w:p w:rsidR="0024794A" w:rsidRDefault="0024794A" w:rsidP="0024794A">
      <w:pPr>
        <w:pStyle w:val="a7"/>
        <w:numPr>
          <w:ilvl w:val="0"/>
          <w:numId w:val="5"/>
        </w:numPr>
        <w:ind w:right="-1"/>
        <w:rPr>
          <w:sz w:val="28"/>
          <w:szCs w:val="28"/>
        </w:rPr>
      </w:pPr>
      <w:r>
        <w:rPr>
          <w:sz w:val="28"/>
          <w:szCs w:val="28"/>
        </w:rPr>
        <w:t>Специфика социального бытия.</w:t>
      </w:r>
    </w:p>
    <w:p w:rsidR="0024794A" w:rsidRDefault="0024794A" w:rsidP="0024794A">
      <w:pPr>
        <w:pStyle w:val="a7"/>
        <w:numPr>
          <w:ilvl w:val="0"/>
          <w:numId w:val="5"/>
        </w:numPr>
        <w:ind w:right="-1"/>
        <w:rPr>
          <w:sz w:val="28"/>
          <w:szCs w:val="28"/>
        </w:rPr>
      </w:pPr>
      <w:r>
        <w:rPr>
          <w:sz w:val="28"/>
          <w:szCs w:val="28"/>
        </w:rPr>
        <w:t>Основные сферы общественной жизни.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Культура и цивилизация. </w:t>
      </w:r>
    </w:p>
    <w:p w:rsidR="0024794A" w:rsidRDefault="0024794A" w:rsidP="0024794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Глобальные проблемы современности.   </w:t>
      </w:r>
    </w:p>
    <w:p w:rsidR="0024794A" w:rsidRDefault="0024794A" w:rsidP="0024794A">
      <w:pPr>
        <w:ind w:firstLine="720"/>
        <w:jc w:val="both"/>
        <w:rPr>
          <w:rFonts w:ascii="Times New Roman" w:hAnsi="Times New Roman" w:cs="Times New Roman"/>
        </w:rPr>
      </w:pPr>
    </w:p>
    <w:p w:rsidR="00D95912" w:rsidRDefault="00D95912"/>
    <w:sectPr w:rsidR="00D9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B5A" w:rsidRDefault="00FA7B5A" w:rsidP="0024794A">
      <w:r>
        <w:separator/>
      </w:r>
    </w:p>
  </w:endnote>
  <w:endnote w:type="continuationSeparator" w:id="0">
    <w:p w:rsidR="00FA7B5A" w:rsidRDefault="00FA7B5A" w:rsidP="0024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B5A" w:rsidRDefault="00FA7B5A" w:rsidP="0024794A">
      <w:r>
        <w:separator/>
      </w:r>
    </w:p>
  </w:footnote>
  <w:footnote w:type="continuationSeparator" w:id="0">
    <w:p w:rsidR="00FA7B5A" w:rsidRDefault="00FA7B5A" w:rsidP="0024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906A5"/>
    <w:multiLevelType w:val="hybridMultilevel"/>
    <w:tmpl w:val="536E2A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7B0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734C8C"/>
    <w:multiLevelType w:val="hybridMultilevel"/>
    <w:tmpl w:val="CED42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B67F5"/>
    <w:multiLevelType w:val="singleLevel"/>
    <w:tmpl w:val="73AE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B80328C"/>
    <w:multiLevelType w:val="hybridMultilevel"/>
    <w:tmpl w:val="C4C8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D9"/>
    <w:rsid w:val="0024794A"/>
    <w:rsid w:val="00A938D9"/>
    <w:rsid w:val="00D95912"/>
    <w:rsid w:val="00EC4DA3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E0E62-A478-4003-BF14-B4A615CB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4A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4794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4794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2479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4794A"/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Block Text"/>
    <w:basedOn w:val="a"/>
    <w:rsid w:val="0024794A"/>
    <w:pPr>
      <w:ind w:left="-567" w:right="-10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4794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4794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a8">
    <w:name w:val="footnote reference"/>
    <w:uiPriority w:val="99"/>
    <w:semiHidden/>
    <w:rsid w:val="0024794A"/>
    <w:rPr>
      <w:vertAlign w:val="superscript"/>
    </w:rPr>
  </w:style>
  <w:style w:type="character" w:customStyle="1" w:styleId="FontStyle38">
    <w:name w:val="Font Style38"/>
    <w:rsid w:val="0024794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2535</Words>
  <Characters>14454</Characters>
  <Application>Microsoft Office Word</Application>
  <DocSecurity>0</DocSecurity>
  <Lines>120</Lines>
  <Paragraphs>33</Paragraphs>
  <ScaleCrop>false</ScaleCrop>
  <Company/>
  <LinksUpToDate>false</LinksUpToDate>
  <CharactersWithSpaces>16956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2023-11-08T11:06:00Z</dcterms:created>
  <dcterms:modified xsi:type="dcterms:W3CDTF">2023-11-08T11:08:00Z</dcterms:modified>
</cp:coreProperties>
</file>