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2A2C5B" w:rsidRPr="00A7264B" w:rsidRDefault="00F14A96" w:rsidP="002A2C5B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ТЕМА №25</w:t>
      </w:r>
      <w:bookmarkStart w:id="0" w:name="_GoBack"/>
      <w:bookmarkEnd w:id="0"/>
      <w:r w:rsidR="00A7264B" w:rsidRPr="00A7264B">
        <w:rPr>
          <w:rFonts w:ascii="Times New Roman" w:hAnsi="Times New Roman" w:cs="Times New Roman"/>
          <w:color w:val="auto"/>
        </w:rPr>
        <w:t xml:space="preserve"> </w:t>
      </w:r>
      <w:r w:rsidR="00A7264B" w:rsidRPr="00A7264B">
        <w:rPr>
          <w:rFonts w:ascii="Times New Roman" w:hAnsi="Times New Roman" w:cs="Times New Roman"/>
          <w:bCs/>
        </w:rPr>
        <w:t>ГОРМОНАЛЬНЫЕ И АНТИГОРМОНАЛЬНЫЕ СРЕДСТВА.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2A2C5B" w:rsidRPr="00A7264B" w:rsidRDefault="00A7264B" w:rsidP="002A2C5B">
      <w:pPr>
        <w:ind w:left="720" w:hanging="720"/>
        <w:jc w:val="center"/>
        <w:rPr>
          <w:rFonts w:ascii="Times New Roman" w:hAnsi="Times New Roman" w:cs="Times New Roman"/>
        </w:rPr>
      </w:pPr>
      <w:r w:rsidRPr="00A7264B">
        <w:rPr>
          <w:rFonts w:ascii="Times New Roman" w:hAnsi="Times New Roman" w:cs="Times New Roman"/>
          <w:color w:val="auto"/>
        </w:rPr>
        <w:lastRenderedPageBreak/>
        <w:t xml:space="preserve">ТЕМА №26 </w:t>
      </w:r>
      <w:r w:rsidRPr="00A7264B">
        <w:rPr>
          <w:rFonts w:ascii="Times New Roman" w:hAnsi="Times New Roman" w:cs="Times New Roman"/>
          <w:bCs/>
        </w:rPr>
        <w:t>ГОРМОНАЛЬНЫЕ И АНТИГОРМОНАЛЬНЫЕ СРЕДСТВА.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EA2E7F" w:rsidRDefault="00E15CF6" w:rsidP="00EA2E7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 xml:space="preserve">номенклатуру и механизм действия </w:t>
      </w:r>
      <w:r w:rsidR="002A2C5B">
        <w:rPr>
          <w:rFonts w:ascii="Times New Roman" w:hAnsi="Times New Roman" w:cs="Times New Roman"/>
        </w:rPr>
        <w:t xml:space="preserve">гормональных </w:t>
      </w:r>
      <w:r w:rsidR="00EA2E7F">
        <w:rPr>
          <w:rFonts w:ascii="Times New Roman" w:hAnsi="Times New Roman" w:cs="Times New Roman"/>
        </w:rPr>
        <w:t>л</w:t>
      </w:r>
      <w:r w:rsidR="00EA2E7F" w:rsidRPr="00F60094">
        <w:rPr>
          <w:rFonts w:ascii="Times New Roman" w:hAnsi="Times New Roman" w:cs="Times New Roman"/>
          <w:color w:val="000000" w:themeColor="text1"/>
        </w:rPr>
        <w:t>екарственны</w:t>
      </w:r>
      <w:r w:rsidR="00EA2E7F">
        <w:rPr>
          <w:rFonts w:ascii="Times New Roman" w:hAnsi="Times New Roman" w:cs="Times New Roman"/>
          <w:color w:val="000000" w:themeColor="text1"/>
        </w:rPr>
        <w:t>х</w:t>
      </w:r>
      <w:r w:rsidR="00EA2E7F" w:rsidRPr="00F60094">
        <w:rPr>
          <w:rFonts w:ascii="Times New Roman" w:hAnsi="Times New Roman" w:cs="Times New Roman"/>
          <w:color w:val="000000" w:themeColor="text1"/>
        </w:rPr>
        <w:t xml:space="preserve"> средств</w:t>
      </w:r>
      <w:r w:rsidR="002A2C5B">
        <w:rPr>
          <w:rFonts w:ascii="Times New Roman" w:hAnsi="Times New Roman" w:cs="Times New Roman"/>
          <w:color w:val="000000" w:themeColor="text1"/>
        </w:rPr>
        <w:t>.</w:t>
      </w:r>
    </w:p>
    <w:p w:rsidR="00EA2E7F" w:rsidRPr="00F60094" w:rsidRDefault="00EA2E7F" w:rsidP="00EA2E7F">
      <w:pPr>
        <w:ind w:firstLine="709"/>
        <w:jc w:val="both"/>
        <w:rPr>
          <w:rFonts w:ascii="Times New Roman" w:hAnsi="Times New Roman" w:cs="Times New Roman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2A2C5B" w:rsidRPr="002A2C5B" w:rsidRDefault="002A2C5B" w:rsidP="002A2C5B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2A2C5B">
        <w:rPr>
          <w:rFonts w:ascii="Times New Roman" w:hAnsi="Times New Roman" w:cs="Times New Roman"/>
        </w:rPr>
        <w:t xml:space="preserve">Студент должен: </w:t>
      </w:r>
    </w:p>
    <w:p w:rsidR="002A2C5B" w:rsidRPr="002A2C5B" w:rsidRDefault="002A2C5B" w:rsidP="002A2C5B">
      <w:p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знать фармакологическую характеристику гормональных средств гипоталамуса, гипофиза, тиреоидных и антитиреоидных средств, препаратов инсулина и синтетических гипогликемических средств;</w:t>
      </w:r>
    </w:p>
    <w:p w:rsidR="002A2C5B" w:rsidRPr="002A2C5B" w:rsidRDefault="002A2C5B" w:rsidP="002A2C5B">
      <w:p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знать основные показания и противопоказания к назначению изучаемых средств, их заменителей и антагонистов;</w:t>
      </w:r>
    </w:p>
    <w:p w:rsidR="002A2C5B" w:rsidRPr="002A2C5B" w:rsidRDefault="002A2C5B" w:rsidP="002A2C5B">
      <w:p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уметь выписать изучаемые лекарственные средства в рецептах в соответствии с основными показаниями к их применению.</w:t>
      </w:r>
    </w:p>
    <w:p w:rsidR="00331E03" w:rsidRDefault="00331E03" w:rsidP="000D3C47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2A2C5B" w:rsidRDefault="002A2C5B" w:rsidP="002A2C5B">
      <w:pPr>
        <w:pStyle w:val="a5"/>
        <w:numPr>
          <w:ilvl w:val="0"/>
          <w:numId w:val="1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>Гормоны, их синтетические аналоги, заменители и антагонисты, источники получения, принципы биологической стандартизации и дозирования, классификация.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 xml:space="preserve">Препараты гормонов гипоталамуса и гипофиза Препараты гормонов гипоталамуса: октреотид, гонадорелин, гозерелин, протирелин. Препараты гормонов передней доли гипофиза: соматропин, гонадотропины (урофоллитропин, хорионический гонадотропин, лютропин альфа, менотропины), тиротропин. Препараты гормонов задней доли гипофиза: окситоцин, десмопрессин, терлипрессин. 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 xml:space="preserve">Влияние препаратов гормонов гипоталамуса и гипофиза на гормональный статус, фармакологические эффекты, применение. 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>Препараты гормонов эпифиза (мелатонин и другие агонисты мелатониновых рецепторов): фармакологическая активность, применение в медицине.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F02837">
        <w:rPr>
          <w:rFonts w:ascii="Times New Roman" w:hAnsi="Times New Roman" w:cs="Times New Roman"/>
          <w:i/>
        </w:rPr>
        <w:t>Тиреоидные и антитиреоидные средства.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>Препараты тиреоидных гормонов: левотироксин натрия (Т</w:t>
      </w:r>
      <w:r w:rsidRPr="00F02837">
        <w:rPr>
          <w:rFonts w:ascii="Times New Roman" w:hAnsi="Times New Roman" w:cs="Times New Roman"/>
          <w:vertAlign w:val="subscript"/>
        </w:rPr>
        <w:t>4</w:t>
      </w:r>
      <w:r w:rsidRPr="00F02837">
        <w:rPr>
          <w:rFonts w:ascii="Times New Roman" w:hAnsi="Times New Roman" w:cs="Times New Roman"/>
        </w:rPr>
        <w:t>), лиотиронин (Т</w:t>
      </w:r>
      <w:r w:rsidRPr="00F02837">
        <w:rPr>
          <w:rFonts w:ascii="Times New Roman" w:hAnsi="Times New Roman" w:cs="Times New Roman"/>
          <w:vertAlign w:val="subscript"/>
        </w:rPr>
        <w:t>3</w:t>
      </w:r>
      <w:r w:rsidRPr="00F02837">
        <w:rPr>
          <w:rFonts w:ascii="Times New Roman" w:hAnsi="Times New Roman" w:cs="Times New Roman"/>
        </w:rPr>
        <w:t xml:space="preserve">), их терапевтическое применение. 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>Антитиреоидные средства (тиамазол, пропилтиоурацил, йодиды, радиоактивный йод, β-адреноблокаторы), механизмы действия, применение, побочные эффекты и осложнения.</w:t>
      </w:r>
    </w:p>
    <w:p w:rsidR="002A2C5B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 xml:space="preserve">Гормональные препараты поджелудочной железы и синтетические противодиабетические средства. Влияние инсулина на обмен веществ. Препараты инсулина короткого и пролонгированного действия (инсулин растворимый, инсулин-изофан, инсулина-цинк кристаллического суспензия, инсулина-цинк комбинированного суспензия, инсулин двухфазный), источники получения. Принципы дозирования и пути введения препаратов инсулина, осложнения инсулинотерапии. 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>Пероральные гипогликемические средства (глибенкламид, гликвидон, метформин): механизм действия, показания к применению, побочные эффекты. Другие противодиабетические средства: повышающие чувствительность тканей к инсулину (пиоглитазон), стимулирующие высвобождение инсулина (репаглинид), тормозящие всасывание углеводов из кишечника (акарбоза), инкретиномиметики (лираглутид, вилдаглиптин), ингибиторы почечной реабсорбции глюкозы (эмпаглифлозин), аналоги амилина (прамлинтид).</w:t>
      </w:r>
    </w:p>
    <w:p w:rsidR="002A2C5B" w:rsidRPr="00F02837" w:rsidRDefault="002A2C5B" w:rsidP="002A2C5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02837">
        <w:rPr>
          <w:rFonts w:ascii="Times New Roman" w:hAnsi="Times New Roman" w:cs="Times New Roman"/>
        </w:rPr>
        <w:t>Антагонисты инсулина (глюкагон, эпинефрин, глюкокортикостероиды (ГКС)), механизмы действия, применение.</w:t>
      </w:r>
    </w:p>
    <w:p w:rsidR="002A2C5B" w:rsidRDefault="002A2C5B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E2AD9" w:rsidRPr="00EA2E7F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EA2E7F">
        <w:rPr>
          <w:rFonts w:ascii="Times New Roman" w:hAnsi="Times New Roman" w:cs="Times New Roman"/>
          <w:b/>
          <w:color w:val="auto"/>
        </w:rPr>
        <w:lastRenderedPageBreak/>
        <w:t>Задания для самостоятельной работы</w:t>
      </w:r>
    </w:p>
    <w:p w:rsidR="006C5044" w:rsidRPr="00EA2E7F" w:rsidRDefault="006C5044" w:rsidP="006C5044">
      <w:pPr>
        <w:jc w:val="both"/>
        <w:rPr>
          <w:rFonts w:ascii="Times New Roman" w:hAnsi="Times New Roman" w:cs="Times New Roman"/>
        </w:rPr>
      </w:pPr>
    </w:p>
    <w:p w:rsidR="002A2C5B" w:rsidRPr="002A2C5B" w:rsidRDefault="002A2C5B" w:rsidP="002A2C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Составить «</w:t>
      </w:r>
      <w:r w:rsidRPr="002A2C5B">
        <w:rPr>
          <w:rFonts w:ascii="Times New Roman" w:hAnsi="Times New Roman" w:cs="Times New Roman"/>
          <w:b/>
        </w:rPr>
        <w:t>интеллектуальную карту» («</w:t>
      </w:r>
      <w:r w:rsidRPr="002A2C5B">
        <w:rPr>
          <w:rFonts w:ascii="Times New Roman" w:hAnsi="Times New Roman" w:cs="Times New Roman"/>
          <w:b/>
          <w:lang w:val="en-US"/>
        </w:rPr>
        <w:t>mind</w:t>
      </w:r>
      <w:r w:rsidRPr="002A2C5B">
        <w:rPr>
          <w:rFonts w:ascii="Times New Roman" w:hAnsi="Times New Roman" w:cs="Times New Roman"/>
          <w:b/>
        </w:rPr>
        <w:t xml:space="preserve"> </w:t>
      </w:r>
      <w:r w:rsidRPr="002A2C5B">
        <w:rPr>
          <w:rFonts w:ascii="Times New Roman" w:hAnsi="Times New Roman" w:cs="Times New Roman"/>
          <w:b/>
          <w:lang w:val="en-US"/>
        </w:rPr>
        <w:t>map</w:t>
      </w:r>
      <w:r w:rsidRPr="002A2C5B">
        <w:rPr>
          <w:rFonts w:ascii="Times New Roman" w:hAnsi="Times New Roman" w:cs="Times New Roman"/>
          <w:b/>
        </w:rPr>
        <w:t>»)</w:t>
      </w:r>
      <w:r w:rsidRPr="002A2C5B">
        <w:rPr>
          <w:rFonts w:ascii="Times New Roman" w:hAnsi="Times New Roman" w:cs="Times New Roman"/>
        </w:rPr>
        <w:t xml:space="preserve"> для следующих лекарственных средств: </w:t>
      </w:r>
      <w:r w:rsidRPr="002A2C5B">
        <w:rPr>
          <w:rStyle w:val="FontStyle47"/>
          <w:sz w:val="24"/>
          <w:szCs w:val="24"/>
        </w:rPr>
        <w:t>октреотид, окситоцин, инсулин, левотироксин натрия, тиамазол, глибенкламид, метформин</w:t>
      </w:r>
      <w:r w:rsidRPr="002A2C5B">
        <w:rPr>
          <w:rStyle w:val="FontStyle47"/>
          <w:i/>
          <w:sz w:val="24"/>
          <w:szCs w:val="24"/>
        </w:rPr>
        <w:t>.</w:t>
      </w:r>
    </w:p>
    <w:p w:rsidR="002A2C5B" w:rsidRPr="002A2C5B" w:rsidRDefault="002A2C5B" w:rsidP="002A2C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  <w:b/>
        </w:rPr>
        <w:t>Составить</w:t>
      </w:r>
      <w:r w:rsidRPr="002A2C5B">
        <w:rPr>
          <w:rFonts w:ascii="Times New Roman" w:hAnsi="Times New Roman" w:cs="Times New Roman"/>
        </w:rPr>
        <w:t xml:space="preserve"> перечень лекарственных средств гормонов гипофиза и гипоталамуса, тиреоидных и антитиреоидных средств, средств, с активностью гормонов поджелудочной железы с указанием их международных названий, основных синонимов, форм выпуска, путей введения, основных показаний к применению.</w:t>
      </w:r>
    </w:p>
    <w:p w:rsidR="002A2C5B" w:rsidRPr="002A2C5B" w:rsidRDefault="002A2C5B" w:rsidP="002A2C5B">
      <w:pPr>
        <w:ind w:left="360"/>
        <w:jc w:val="both"/>
        <w:rPr>
          <w:rFonts w:ascii="Times New Roman" w:hAnsi="Times New Roman" w:cs="Times New Roman"/>
        </w:rPr>
      </w:pPr>
    </w:p>
    <w:p w:rsidR="002A2C5B" w:rsidRPr="002A2C5B" w:rsidRDefault="002A2C5B" w:rsidP="002A2C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  <w:b/>
        </w:rPr>
        <w:t>Заполнить</w:t>
      </w:r>
      <w:r w:rsidRPr="002A2C5B">
        <w:rPr>
          <w:rFonts w:ascii="Times New Roman" w:hAnsi="Times New Roman" w:cs="Times New Roman"/>
        </w:rPr>
        <w:t xml:space="preserve"> таблицу «Сравнительная характеристика средств гормонов гипофиза».</w:t>
      </w:r>
    </w:p>
    <w:p w:rsidR="002A2C5B" w:rsidRPr="002A2C5B" w:rsidRDefault="002A2C5B" w:rsidP="002A2C5B">
      <w:pPr>
        <w:pStyle w:val="a5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206"/>
        <w:gridCol w:w="2079"/>
        <w:gridCol w:w="2079"/>
        <w:gridCol w:w="2104"/>
      </w:tblGrid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Гормон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Лекарственное средство</w:t>
            </w: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Орган-мишень</w:t>
            </w: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Показания к применению</w:t>
            </w:r>
          </w:p>
        </w:tc>
      </w:tr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СТГ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АКТГ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ФСГ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ЛГ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АДГ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99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Окситоцин</w:t>
            </w:r>
          </w:p>
        </w:tc>
        <w:tc>
          <w:tcPr>
            <w:tcW w:w="104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2C5B" w:rsidRPr="002A2C5B" w:rsidRDefault="002A2C5B" w:rsidP="002A2C5B">
      <w:pPr>
        <w:jc w:val="both"/>
        <w:rPr>
          <w:rFonts w:ascii="Times New Roman" w:hAnsi="Times New Roman" w:cs="Times New Roman"/>
        </w:rPr>
      </w:pPr>
    </w:p>
    <w:p w:rsidR="002A2C5B" w:rsidRPr="002A2C5B" w:rsidRDefault="002A2C5B" w:rsidP="002A2C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  <w:b/>
        </w:rPr>
        <w:t>Заполнить</w:t>
      </w:r>
      <w:r w:rsidRPr="002A2C5B">
        <w:rPr>
          <w:rFonts w:ascii="Times New Roman" w:hAnsi="Times New Roman" w:cs="Times New Roman"/>
        </w:rPr>
        <w:t xml:space="preserve"> таблицу «Сравнительная характеристика средств инсулина».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785"/>
        <w:gridCol w:w="1375"/>
        <w:gridCol w:w="1850"/>
        <w:gridCol w:w="1734"/>
        <w:gridCol w:w="1375"/>
      </w:tblGrid>
      <w:tr w:rsidR="002A2C5B" w:rsidRPr="002A2C5B" w:rsidTr="002A2C5B">
        <w:tc>
          <w:tcPr>
            <w:tcW w:w="1181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Группа средств инсулина</w:t>
            </w:r>
          </w:p>
        </w:tc>
        <w:tc>
          <w:tcPr>
            <w:tcW w:w="822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Лекарственные средства</w:t>
            </w: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Начало действия</w:t>
            </w:r>
          </w:p>
        </w:tc>
        <w:tc>
          <w:tcPr>
            <w:tcW w:w="899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Длительность действия</w:t>
            </w:r>
          </w:p>
        </w:tc>
        <w:tc>
          <w:tcPr>
            <w:tcW w:w="750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Лекарственная форма</w:t>
            </w: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center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Путь введения</w:t>
            </w:r>
          </w:p>
        </w:tc>
      </w:tr>
      <w:tr w:rsidR="002A2C5B" w:rsidRPr="002A2C5B" w:rsidTr="002A2C5B">
        <w:tc>
          <w:tcPr>
            <w:tcW w:w="1181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 xml:space="preserve">Ультракороткие </w:t>
            </w:r>
          </w:p>
        </w:tc>
        <w:tc>
          <w:tcPr>
            <w:tcW w:w="82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1181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Быстро- и короткодействующие</w:t>
            </w:r>
          </w:p>
        </w:tc>
        <w:tc>
          <w:tcPr>
            <w:tcW w:w="82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1181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Средней продолжительности действия</w:t>
            </w:r>
          </w:p>
        </w:tc>
        <w:tc>
          <w:tcPr>
            <w:tcW w:w="82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C5B" w:rsidRPr="002A2C5B" w:rsidTr="002A2C5B">
        <w:tc>
          <w:tcPr>
            <w:tcW w:w="1181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  <w:r w:rsidRPr="002A2C5B">
              <w:rPr>
                <w:rFonts w:ascii="Times New Roman" w:hAnsi="Times New Roman" w:cs="Times New Roman"/>
              </w:rPr>
              <w:t>Длительного действия</w:t>
            </w:r>
          </w:p>
        </w:tc>
        <w:tc>
          <w:tcPr>
            <w:tcW w:w="822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2A2C5B" w:rsidRPr="002A2C5B" w:rsidRDefault="002A2C5B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2C5B" w:rsidRPr="002A2C5B" w:rsidRDefault="002A2C5B" w:rsidP="002A2C5B">
      <w:pPr>
        <w:ind w:left="360"/>
        <w:jc w:val="both"/>
        <w:rPr>
          <w:rFonts w:ascii="Times New Roman" w:hAnsi="Times New Roman" w:cs="Times New Roman"/>
        </w:rPr>
      </w:pPr>
    </w:p>
    <w:p w:rsidR="002A2C5B" w:rsidRPr="002A2C5B" w:rsidRDefault="002A2C5B" w:rsidP="002A2C5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  <w:b/>
        </w:rPr>
        <w:t>Выполнить</w:t>
      </w:r>
      <w:r w:rsidRPr="002A2C5B">
        <w:rPr>
          <w:rFonts w:ascii="Times New Roman" w:hAnsi="Times New Roman" w:cs="Times New Roman"/>
        </w:rPr>
        <w:t xml:space="preserve"> задания по рецептуре: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5.1. Лекарственное средство для прекращения лактации.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5.2. Лекарственное средство, применяемое при акромегалии.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5.3. Лекарственное средство, способствующее наступлению овуляции.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5.4. Лекарственное средство, стимулирующее функциональную активность коры надпочечников.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5.5. Лекарственное средство для лечения ночного энуреза в виде назального спрея.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5.6. Лекарственное средство заместительной терапии при гипотиреозе.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5.7. Антитиреоидное лекарствнное средство.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5.8. Лекарственное средство инсулина короткого действия.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5.9. Лекарственное средство инсулина длительного действия.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5.10. Противодиабетическое средство из группы производных сульфонилмочевины.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 xml:space="preserve">5.11. Противодиабетическое средство из группы производных бигуанида. </w:t>
      </w:r>
    </w:p>
    <w:p w:rsidR="002A2C5B" w:rsidRPr="002A2C5B" w:rsidRDefault="002A2C5B" w:rsidP="002A2C5B">
      <w:pPr>
        <w:ind w:left="357"/>
        <w:jc w:val="both"/>
        <w:rPr>
          <w:rFonts w:ascii="Times New Roman" w:hAnsi="Times New Roman" w:cs="Times New Roman"/>
        </w:rPr>
      </w:pPr>
    </w:p>
    <w:p w:rsidR="002A2C5B" w:rsidRPr="002A2C5B" w:rsidRDefault="002A2C5B" w:rsidP="002A2C5B">
      <w:pPr>
        <w:ind w:left="35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2A2C5B">
        <w:rPr>
          <w:rFonts w:ascii="Times New Roman" w:hAnsi="Times New Roman" w:cs="Times New Roman"/>
          <w:i/>
        </w:rPr>
        <w:t>онтрольные вопросы</w:t>
      </w:r>
    </w:p>
    <w:p w:rsidR="002A2C5B" w:rsidRPr="002A2C5B" w:rsidRDefault="002A2C5B" w:rsidP="002A2C5B">
      <w:pPr>
        <w:ind w:left="357"/>
        <w:jc w:val="center"/>
        <w:rPr>
          <w:rFonts w:ascii="Times New Roman" w:hAnsi="Times New Roman" w:cs="Times New Roman"/>
          <w:i/>
        </w:rPr>
      </w:pP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По каким показаниям в медицинской практике применяют бромокриптин?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По каким показаниям в медицинской практике применяют средства гонадотропных гормонов?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Применим ли окситоцин для прерывания беременности?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С чем связывают механизм действия тиамазола?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Почему левотироксин не применяют для лечения ожирения?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lastRenderedPageBreak/>
        <w:t>Как быстро проявляется фармакологический эффект левотироксина, лиотиронина, тиамазола и йодида калия?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Укажите возможные нежелательные эффекты левотироксина и тиамазола и предложите группы лекарственных средств для их возможной фармакологической коррекции.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Какой из видов средств инсулина является наименее иммуногенным? Почему?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Охарактеризуйте способы получения человеческого инсулина.</w:t>
      </w:r>
    </w:p>
    <w:p w:rsidR="002A2C5B" w:rsidRPr="002A2C5B" w:rsidRDefault="002A2C5B" w:rsidP="002A2C5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2A2C5B">
        <w:rPr>
          <w:rFonts w:ascii="Times New Roman" w:hAnsi="Times New Roman" w:cs="Times New Roman"/>
        </w:rPr>
        <w:t>Перечислите нежелательные эффекты, возникающие при использовании инсулина.</w:t>
      </w:r>
    </w:p>
    <w:p w:rsidR="003A42F1" w:rsidRPr="004260D1" w:rsidRDefault="003A42F1" w:rsidP="003A42F1">
      <w:pPr>
        <w:spacing w:line="228" w:lineRule="auto"/>
        <w:ind w:left="2832" w:firstLine="708"/>
        <w:rPr>
          <w:b/>
          <w:bCs/>
          <w:i/>
          <w:iCs/>
        </w:rPr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B62C10" w:rsidRPr="00610B90" w:rsidRDefault="00B62C10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r w:rsidRPr="009926DC">
        <w:rPr>
          <w:rFonts w:ascii="Times New Roman" w:hAnsi="Times New Roman" w:cs="Times New Roman"/>
          <w:color w:val="auto"/>
        </w:rPr>
        <w:t>Харкевич, Д.</w:t>
      </w:r>
      <w:r w:rsidRPr="005B2165">
        <w:rPr>
          <w:rFonts w:ascii="Times New Roman" w:hAnsi="Times New Roman" w:cs="Times New Roman"/>
        </w:rPr>
        <w:t> А. Фармакология : учебник  / Д. А. Харкевич. – 13-е изд., перераб. – Москва :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Крапивко, А.А. Солкин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>Крапивко, И.И. Фармакология: учеб.-метод. пособие / Крапивко И.И., Сачек М.М., Концевой В.М., Садикова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>Аляутдин, Р. Н. Фармакология : учебник /под ред. Р. Н. Аляутдина. – 6-е изд., перераб.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5B2165">
        <w:rPr>
          <w:rFonts w:ascii="Times New Roman" w:hAnsi="Times New Roman" w:cs="Times New Roman"/>
          <w:color w:val="auto"/>
        </w:rPr>
        <w:t>Харкевич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5B2165">
        <w:rPr>
          <w:rFonts w:ascii="Times New Roman" w:hAnsi="Times New Roman" w:cs="Times New Roman"/>
          <w:color w:val="auto"/>
        </w:rPr>
        <w:t>Машковский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  Видаль. Лекарственные препараты в Беларуси. М.: Видаль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0116"/>
    <w:multiLevelType w:val="hybridMultilevel"/>
    <w:tmpl w:val="9A3C8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93C72"/>
    <w:multiLevelType w:val="hybridMultilevel"/>
    <w:tmpl w:val="4F887AD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5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F986EEC"/>
    <w:multiLevelType w:val="hybridMultilevel"/>
    <w:tmpl w:val="39886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B0249F"/>
    <w:multiLevelType w:val="hybridMultilevel"/>
    <w:tmpl w:val="67FCC14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17AC4"/>
    <w:rsid w:val="00037DEF"/>
    <w:rsid w:val="000864E5"/>
    <w:rsid w:val="000A114E"/>
    <w:rsid w:val="000D3C47"/>
    <w:rsid w:val="000F1CBF"/>
    <w:rsid w:val="001347AB"/>
    <w:rsid w:val="001477A5"/>
    <w:rsid w:val="001534FA"/>
    <w:rsid w:val="001C77B7"/>
    <w:rsid w:val="001E371D"/>
    <w:rsid w:val="00207108"/>
    <w:rsid w:val="00241DF4"/>
    <w:rsid w:val="002A2C5B"/>
    <w:rsid w:val="002B6B8E"/>
    <w:rsid w:val="002E0989"/>
    <w:rsid w:val="003033AB"/>
    <w:rsid w:val="0030711A"/>
    <w:rsid w:val="00331E03"/>
    <w:rsid w:val="00366FEF"/>
    <w:rsid w:val="003A2028"/>
    <w:rsid w:val="003A42F1"/>
    <w:rsid w:val="003D5CD8"/>
    <w:rsid w:val="003D6AA3"/>
    <w:rsid w:val="00431F67"/>
    <w:rsid w:val="00435AF2"/>
    <w:rsid w:val="0048784C"/>
    <w:rsid w:val="004933E8"/>
    <w:rsid w:val="004D6FEA"/>
    <w:rsid w:val="004F3CE4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C5044"/>
    <w:rsid w:val="006E0CBD"/>
    <w:rsid w:val="00705510"/>
    <w:rsid w:val="00726BC8"/>
    <w:rsid w:val="0074321E"/>
    <w:rsid w:val="00750A05"/>
    <w:rsid w:val="00764017"/>
    <w:rsid w:val="007A62EC"/>
    <w:rsid w:val="007B3DA7"/>
    <w:rsid w:val="007D1F6D"/>
    <w:rsid w:val="007E47B5"/>
    <w:rsid w:val="008C362E"/>
    <w:rsid w:val="008E2191"/>
    <w:rsid w:val="008F5A66"/>
    <w:rsid w:val="00991F0C"/>
    <w:rsid w:val="009926DC"/>
    <w:rsid w:val="00996DAB"/>
    <w:rsid w:val="009B637C"/>
    <w:rsid w:val="009C3117"/>
    <w:rsid w:val="00A250CA"/>
    <w:rsid w:val="00A57BA9"/>
    <w:rsid w:val="00A635A7"/>
    <w:rsid w:val="00A7264B"/>
    <w:rsid w:val="00AC3255"/>
    <w:rsid w:val="00B22E4B"/>
    <w:rsid w:val="00B56EAF"/>
    <w:rsid w:val="00B62C10"/>
    <w:rsid w:val="00B7339C"/>
    <w:rsid w:val="00B867F2"/>
    <w:rsid w:val="00BA1891"/>
    <w:rsid w:val="00BB6B79"/>
    <w:rsid w:val="00BE268A"/>
    <w:rsid w:val="00C250C6"/>
    <w:rsid w:val="00CB4448"/>
    <w:rsid w:val="00CE23A8"/>
    <w:rsid w:val="00CF18D8"/>
    <w:rsid w:val="00CF3622"/>
    <w:rsid w:val="00D90988"/>
    <w:rsid w:val="00DC5C59"/>
    <w:rsid w:val="00DD5E7A"/>
    <w:rsid w:val="00DF7CDC"/>
    <w:rsid w:val="00E15CF6"/>
    <w:rsid w:val="00E86898"/>
    <w:rsid w:val="00EA2E7F"/>
    <w:rsid w:val="00ED13D5"/>
    <w:rsid w:val="00ED5346"/>
    <w:rsid w:val="00F14A96"/>
    <w:rsid w:val="00F707BF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FBF1"/>
  <w15:docId w15:val="{638441DB-7F24-4685-BB60-53BD73F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500F-7850-4EAB-BD15-EAC5892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7</cp:revision>
  <cp:lastPrinted>2023-09-26T10:28:00Z</cp:lastPrinted>
  <dcterms:created xsi:type="dcterms:W3CDTF">2023-11-06T20:29:00Z</dcterms:created>
  <dcterms:modified xsi:type="dcterms:W3CDTF">2024-03-13T07:31:00Z</dcterms:modified>
</cp:coreProperties>
</file>