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524D">
      <w:pPr>
        <w:pStyle w:val="newncpi0"/>
        <w:jc w:val="center"/>
        <w:divId w:val="1513951238"/>
      </w:pPr>
      <w:bookmarkStart w:id="0" w:name="_GoBack"/>
      <w:bookmarkEnd w:id="0"/>
      <w:r>
        <w:t> </w:t>
      </w:r>
    </w:p>
    <w:p w:rsidR="00000000" w:rsidRDefault="00AA524D">
      <w:pPr>
        <w:pStyle w:val="newncpi0"/>
        <w:jc w:val="center"/>
        <w:divId w:val="1513951238"/>
      </w:pPr>
      <w:bookmarkStart w:id="1" w:name="a18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AA524D">
      <w:pPr>
        <w:pStyle w:val="newncpi"/>
        <w:ind w:firstLine="0"/>
        <w:jc w:val="center"/>
        <w:divId w:val="1513951238"/>
      </w:pPr>
      <w:r>
        <w:rPr>
          <w:rStyle w:val="datepr"/>
        </w:rPr>
        <w:t>30 мая 2003 г.</w:t>
      </w:r>
      <w:r>
        <w:rPr>
          <w:rStyle w:val="number"/>
        </w:rPr>
        <w:t xml:space="preserve"> № 724</w:t>
      </w:r>
    </w:p>
    <w:p w:rsidR="00000000" w:rsidRDefault="00AA524D">
      <w:pPr>
        <w:pStyle w:val="titlencpi"/>
        <w:divId w:val="1513951238"/>
      </w:pPr>
      <w:r>
        <w:rPr>
          <w:color w:val="000080"/>
        </w:rPr>
        <w:t>О мерах по внедрению системы государственных социальных стандартов по обслуживанию населения республики</w:t>
      </w:r>
    </w:p>
    <w:p w:rsidR="00000000" w:rsidRDefault="00AA524D">
      <w:pPr>
        <w:pStyle w:val="changei"/>
        <w:divId w:val="1513951238"/>
      </w:pPr>
      <w:r>
        <w:t>Изменения и дополнения:</w:t>
      </w:r>
    </w:p>
    <w:p w:rsidR="00000000" w:rsidRDefault="00AA524D">
      <w:pPr>
        <w:pStyle w:val="changeadd"/>
        <w:divId w:val="1513951238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5 марта 2004 г. № 235 (Национальный реестр правовых актов Республики Беларусь, 2004 г., № 40, 5/13907);</w:t>
      </w:r>
    </w:p>
    <w:p w:rsidR="00000000" w:rsidRDefault="00AA524D">
      <w:pPr>
        <w:pStyle w:val="changeadd"/>
        <w:divId w:val="1513951238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</w:t>
      </w:r>
      <w:r>
        <w:t>сь от 31 августа 2004 г. № 1037 (Национальный реестр правовых актов Республики Беларусь, 2004 г., № 140, 5/14735);</w:t>
      </w:r>
    </w:p>
    <w:p w:rsidR="00000000" w:rsidRDefault="00AA524D">
      <w:pPr>
        <w:pStyle w:val="changeadd"/>
        <w:divId w:val="1513951238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октября 2004 г. № 1236 (Национальны</w:t>
      </w:r>
      <w:r>
        <w:t>й реестр правовых актов Республики Беларусь, 2004 г., № 158, 5/14943);</w:t>
      </w:r>
    </w:p>
    <w:p w:rsidR="00000000" w:rsidRDefault="00AA524D">
      <w:pPr>
        <w:pStyle w:val="changeadd"/>
        <w:divId w:val="1513951238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марта 2005 г. № 251 (Национальный реестр правовых актов Республики Беларусь, 20</w:t>
      </w:r>
      <w:r>
        <w:t>05 г., № 41, 5/15692);</w:t>
      </w:r>
    </w:p>
    <w:p w:rsidR="00000000" w:rsidRDefault="00AA524D">
      <w:pPr>
        <w:pStyle w:val="changeadd"/>
        <w:divId w:val="1513951238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января 2006 г. № 41 (Национальный реестр правовых актов Республики Беларусь, 2006 г., № 10, 5/17110);</w:t>
      </w:r>
    </w:p>
    <w:p w:rsidR="00000000" w:rsidRDefault="00AA524D">
      <w:pPr>
        <w:pStyle w:val="changeadd"/>
        <w:divId w:val="1513951238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февраля 2006 г. № 136 (Национальный реестр правовых актов Республики Беларусь, 2006 г., № 23, 5/17213);</w:t>
      </w:r>
    </w:p>
    <w:p w:rsidR="00000000" w:rsidRDefault="00AA524D">
      <w:pPr>
        <w:pStyle w:val="changeadd"/>
        <w:divId w:val="1513951238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</w:t>
      </w:r>
      <w:r>
        <w:t xml:space="preserve"> Министров Республики Беларусь от 23 мая 2006 г. № 654 (Национальный реестр правовых актов Республики Беларусь, 2006 г., № 86, 5/22351);</w:t>
      </w:r>
    </w:p>
    <w:p w:rsidR="00000000" w:rsidRDefault="00AA524D">
      <w:pPr>
        <w:pStyle w:val="changeadd"/>
        <w:divId w:val="1513951238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сентября 200</w:t>
      </w:r>
      <w:r>
        <w:t>6 г. № 1221 (Национальный реестр правовых актов Республики Беларусь, 2006 г., № 151, 5/22953);</w:t>
      </w:r>
    </w:p>
    <w:p w:rsidR="00000000" w:rsidRDefault="00AA524D">
      <w:pPr>
        <w:pStyle w:val="changeadd"/>
        <w:divId w:val="1513951238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июня 2007 г. № 811 (Национальный реестр правовых акто</w:t>
      </w:r>
      <w:r>
        <w:t>в Республики Беларусь, 2007 г., № 157, 5/25411);</w:t>
      </w:r>
    </w:p>
    <w:p w:rsidR="00000000" w:rsidRDefault="00AA524D">
      <w:pPr>
        <w:pStyle w:val="changeadd"/>
        <w:divId w:val="1513951238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марта 2008 г. № 374 (Национальный реестр правовых актов Республики Беларусь, 2008 г., № 68, 5/27331</w:t>
      </w:r>
      <w:r>
        <w:t>);</w:t>
      </w:r>
    </w:p>
    <w:p w:rsidR="00000000" w:rsidRDefault="00AA524D">
      <w:pPr>
        <w:pStyle w:val="changeadd"/>
        <w:divId w:val="1513951238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мая 2009 г. № 575 (Национальный реестр правовых актов Республики Беларусь, 2009 г., № 109, 5/29708);</w:t>
      </w:r>
    </w:p>
    <w:p w:rsidR="00000000" w:rsidRDefault="00AA524D">
      <w:pPr>
        <w:pStyle w:val="changeadd"/>
        <w:divId w:val="1513951238"/>
      </w:pPr>
      <w:hyperlink r:id="rId1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октября 2009 г. № 1299 (Национальный реестр правовых актов Республики Беларусь, 2009 г., № 248, 5/30557);</w:t>
      </w:r>
    </w:p>
    <w:p w:rsidR="00000000" w:rsidRDefault="00AA524D">
      <w:pPr>
        <w:pStyle w:val="changeadd"/>
        <w:divId w:val="1513951238"/>
      </w:pPr>
      <w:hyperlink r:id="rId16" w:anchor="a10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</w:t>
      </w:r>
      <w:r>
        <w:t>ублики Беларусь от 17 декабря 2009 г. № 1658 (Национальный реестр правовых актов Республики Беларусь, 2009 г., № 305, 5/30930);</w:t>
      </w:r>
    </w:p>
    <w:p w:rsidR="00000000" w:rsidRDefault="00AA524D">
      <w:pPr>
        <w:pStyle w:val="changeadd"/>
        <w:divId w:val="1513951238"/>
      </w:pPr>
      <w:hyperlink r:id="rId17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февраля 2011 г. № 22</w:t>
      </w:r>
      <w:r>
        <w:t>7 (Национальный реестр правовых актов Республики Беларусь, 2011 г., № 26, 5/33374);</w:t>
      </w:r>
    </w:p>
    <w:p w:rsidR="00000000" w:rsidRDefault="00AA524D">
      <w:pPr>
        <w:pStyle w:val="changeadd"/>
        <w:divId w:val="1513951238"/>
      </w:pPr>
      <w:hyperlink r:id="rId18" w:anchor="a38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августа 2011 г. № 1049 (Национальный реестр правовых актов Респ</w:t>
      </w:r>
      <w:r>
        <w:t>ублики Беларусь, 2011 г., № 92, 5/34264);</w:t>
      </w:r>
    </w:p>
    <w:p w:rsidR="00000000" w:rsidRDefault="00AA524D">
      <w:pPr>
        <w:pStyle w:val="changeadd"/>
        <w:divId w:val="1513951238"/>
      </w:pPr>
      <w:hyperlink r:id="rId1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января 2012 г. № 47 (Национальный реестр правовых актов Республики Беларусь, 2012 г., № 12, 5/35125);</w:t>
      </w:r>
    </w:p>
    <w:p w:rsidR="00000000" w:rsidRDefault="00AA524D">
      <w:pPr>
        <w:pStyle w:val="changeadd"/>
        <w:divId w:val="1513951238"/>
      </w:pPr>
      <w:hyperlink r:id="rId2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декабря 2012 г. № 1190 (Национальный правовой Интернет-портал Республики Беларусь, 28.12.2012, 5/36672);</w:t>
      </w:r>
    </w:p>
    <w:p w:rsidR="00000000" w:rsidRDefault="00AA524D">
      <w:pPr>
        <w:pStyle w:val="changeadd"/>
        <w:divId w:val="1513951238"/>
      </w:pPr>
      <w:hyperlink r:id="rId2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ноября 2013 г. № 980 (Национальный правовой Интернет-портал Республики Беларусь, 20.11.2013, 5/38029);</w:t>
      </w:r>
    </w:p>
    <w:p w:rsidR="00000000" w:rsidRDefault="00AA524D">
      <w:pPr>
        <w:pStyle w:val="changeadd"/>
        <w:divId w:val="1513951238"/>
      </w:pPr>
      <w:hyperlink r:id="rId2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</w:t>
      </w:r>
      <w:r>
        <w:t xml:space="preserve"> Беларусь от 27 августа 2014 г. № 840 (Национальный правовой Интернет-портал Республики Беларусь, 02.09.2014, 5/39340);</w:t>
      </w:r>
    </w:p>
    <w:p w:rsidR="00000000" w:rsidRDefault="00AA524D">
      <w:pPr>
        <w:pStyle w:val="changeadd"/>
        <w:divId w:val="1513951238"/>
      </w:pPr>
      <w:hyperlink r:id="rId23" w:anchor="a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июля 2016 г. № 529 (Националь</w:t>
      </w:r>
      <w:r>
        <w:t>ный правовой Интернет-портал Республики Беларусь, 09.07.2016, 5/42318);</w:t>
      </w:r>
    </w:p>
    <w:p w:rsidR="00000000" w:rsidRDefault="00AA524D">
      <w:pPr>
        <w:pStyle w:val="changeadd"/>
        <w:divId w:val="1513951238"/>
      </w:pPr>
      <w:hyperlink r:id="rId2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августа 2017 г. № 654 (Национальный правовой Интернет-портал Республики Бела</w:t>
      </w:r>
      <w:r>
        <w:t>русь, 31.08.2017, 5/44123);</w:t>
      </w:r>
    </w:p>
    <w:p w:rsidR="00000000" w:rsidRDefault="00AA524D">
      <w:pPr>
        <w:pStyle w:val="changeadd"/>
        <w:divId w:val="1513951238"/>
      </w:pPr>
      <w:hyperlink r:id="rId2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ноября 2018 г. № 802 (Национальный правовой Интернет-портал Республики Беларусь, 24.11.2018, 5/45827);</w:t>
      </w:r>
    </w:p>
    <w:p w:rsidR="00000000" w:rsidRDefault="00AA524D">
      <w:pPr>
        <w:pStyle w:val="changeadd"/>
        <w:divId w:val="1513951238"/>
      </w:pPr>
      <w:hyperlink r:id="rId2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декабря 2020 г. № 720 (Национальный правовой Интернет-портал Республики Беларусь, 16.12.2020, 5/48594)</w:t>
      </w:r>
    </w:p>
    <w:p w:rsidR="00000000" w:rsidRDefault="00AA524D">
      <w:pPr>
        <w:pStyle w:val="newncpi"/>
        <w:divId w:val="1513951238"/>
      </w:pPr>
      <w:r>
        <w:t> </w:t>
      </w:r>
    </w:p>
    <w:p w:rsidR="00000000" w:rsidRDefault="00AA524D">
      <w:pPr>
        <w:pStyle w:val="preamble"/>
        <w:divId w:val="1513951238"/>
      </w:pPr>
      <w:r>
        <w:t>Совет Министров Республики Беларусь ПОСТАНО</w:t>
      </w:r>
      <w:r>
        <w:t>ВЛЯЕТ:</w:t>
      </w:r>
    </w:p>
    <w:p w:rsidR="00000000" w:rsidRDefault="00AA524D">
      <w:pPr>
        <w:pStyle w:val="point"/>
        <w:divId w:val="1513951238"/>
      </w:pPr>
      <w:r>
        <w:t xml:space="preserve">1. Установить </w:t>
      </w:r>
      <w:hyperlink w:anchor="a53" w:tooltip="+" w:history="1">
        <w:r>
          <w:rPr>
            <w:rStyle w:val="a3"/>
          </w:rPr>
          <w:t>систему</w:t>
        </w:r>
      </w:hyperlink>
      <w:r>
        <w:t xml:space="preserve"> государственных социальных стандартов по обслуживанию населения республики согласно приложению.</w:t>
      </w:r>
    </w:p>
    <w:p w:rsidR="00000000" w:rsidRDefault="00AA524D">
      <w:pPr>
        <w:pStyle w:val="point"/>
        <w:divId w:val="1513951238"/>
      </w:pPr>
      <w:bookmarkStart w:id="2" w:name="a54"/>
      <w:bookmarkEnd w:id="2"/>
      <w:r>
        <w:t xml:space="preserve">2. Облисполкомы и Минский горисполком на основе установленной настоящим постановлением </w:t>
      </w:r>
      <w:hyperlink w:anchor="a53" w:tooltip="+" w:history="1">
        <w:r>
          <w:rPr>
            <w:rStyle w:val="a3"/>
          </w:rPr>
          <w:t>системы</w:t>
        </w:r>
      </w:hyperlink>
      <w:r>
        <w:t xml:space="preserve"> государственных социальных стандартов по обслуживанию населения республики устанавливают перечни социальных стандартов по обслуживанию населения для административно-территориальных единиц (области, районы и города областного п</w:t>
      </w:r>
      <w:r>
        <w:t>одчинения) с учетом их специфики и развития инфраструктуры.</w:t>
      </w:r>
    </w:p>
    <w:p w:rsidR="00000000" w:rsidRDefault="00AA524D">
      <w:pPr>
        <w:pStyle w:val="point"/>
        <w:divId w:val="1513951238"/>
      </w:pPr>
      <w:bookmarkStart w:id="3" w:name="a48"/>
      <w:bookmarkEnd w:id="3"/>
      <w:r>
        <w:t>Облисполкомам обеспечить проведение анализа работы по обслуживанию населения в соответствии с нормативами государственных социальных стандартов и обновление содержащихся в паспортах сведений о вне</w:t>
      </w:r>
      <w:r>
        <w:t>дрении и функционировании государственных социальных стандартов в городах и районах не реже одного раза в полугодие, в поселках и сельсоветах – не реже одного раза в год с учетом укрепления материально-технической базы и других изменений в социально-эконом</w:t>
      </w:r>
      <w:r>
        <w:t>ическом развитии регионов.</w:t>
      </w:r>
    </w:p>
    <w:p w:rsidR="00000000" w:rsidRDefault="00AA524D">
      <w:pPr>
        <w:pStyle w:val="point"/>
        <w:divId w:val="1513951238"/>
      </w:pPr>
      <w:bookmarkStart w:id="4" w:name="a17"/>
      <w:bookmarkEnd w:id="4"/>
      <w:r>
        <w:t>3. Установить, что государственные социальные стандарты по обслуживанию населения республики:</w:t>
      </w:r>
    </w:p>
    <w:p w:rsidR="00000000" w:rsidRDefault="00AA524D">
      <w:pPr>
        <w:pStyle w:val="underpoint"/>
        <w:divId w:val="1513951238"/>
      </w:pPr>
      <w:r>
        <w:t>3.1. являются обязательными для использования в организациях всех форм собственности;</w:t>
      </w:r>
    </w:p>
    <w:p w:rsidR="00000000" w:rsidRDefault="00AA524D">
      <w:pPr>
        <w:pStyle w:val="underpoint"/>
        <w:divId w:val="1513951238"/>
      </w:pPr>
      <w:r>
        <w:t>3.2. используются при формировании республиканско</w:t>
      </w:r>
      <w:r>
        <w:t>го и местных бюджетов, а также государственных внебюджетных фондов и реализуются в пределах выделяемых на эти цели средств;</w:t>
      </w:r>
    </w:p>
    <w:p w:rsidR="00000000" w:rsidRDefault="00AA524D">
      <w:pPr>
        <w:pStyle w:val="underpoint"/>
        <w:divId w:val="1513951238"/>
      </w:pPr>
      <w:bookmarkStart w:id="5" w:name="a56"/>
      <w:bookmarkEnd w:id="5"/>
      <w:r>
        <w:t>3.3. установленные в денежном выражении ежегодно с учетом средств, предусматриваемых законом о бюджете Республики Беларусь на очеред</w:t>
      </w:r>
      <w:r>
        <w:t>ной финансовый год, пересматриваются республиканскими органами государственного управления, облисполкомами и Минским горисполкомом в установленном порядке;</w:t>
      </w:r>
    </w:p>
    <w:p w:rsidR="00000000" w:rsidRDefault="00AA524D">
      <w:pPr>
        <w:pStyle w:val="point"/>
        <w:divId w:val="1513951238"/>
      </w:pPr>
      <w:r>
        <w:t xml:space="preserve">3.4. используются при создании социальной инфраструктуры в агрогородках, формируемых в соответствии </w:t>
      </w:r>
      <w:r>
        <w:t xml:space="preserve">с Государственной </w:t>
      </w:r>
      <w:hyperlink r:id="rId27" w:anchor="a1" w:tooltip="+" w:history="1">
        <w:r>
          <w:rPr>
            <w:rStyle w:val="a3"/>
          </w:rPr>
          <w:t>программой</w:t>
        </w:r>
      </w:hyperlink>
      <w:r>
        <w:t xml:space="preserve"> возрождения и развития села на 2005</w:t>
      </w:r>
      <w:r>
        <w:rPr>
          <w:rStyle w:val="onesymbol"/>
        </w:rPr>
        <w:t></w:t>
      </w:r>
      <w:r>
        <w:t>2010 годы, утвержденной Указом Президента Республики Беларусь от 25 марта 2005 г. № 150 (Национальный реестр правовых актов Республики Белару</w:t>
      </w:r>
      <w:r>
        <w:t>сь, 2005 г., № 52, 1/6339).</w:t>
      </w:r>
    </w:p>
    <w:p w:rsidR="00000000" w:rsidRDefault="00AA524D">
      <w:pPr>
        <w:pStyle w:val="point"/>
        <w:divId w:val="1513951238"/>
      </w:pPr>
      <w:r>
        <w:t>4. Облисполкомам и Минскому горисполкому, районным и городским исполкомам до 1 сентября 2003 г.:</w:t>
      </w:r>
    </w:p>
    <w:p w:rsidR="00000000" w:rsidRDefault="00AA524D">
      <w:pPr>
        <w:pStyle w:val="underpoint"/>
        <w:divId w:val="1513951238"/>
      </w:pPr>
      <w:r>
        <w:t>4.1. завершить внедрение государственных социальных стандартов по обслуживанию населения в Верхнедвинском, Пружанском, Клецком, Кор</w:t>
      </w:r>
      <w:r>
        <w:t>еличском, Наровлянском, Осиповичском районах;</w:t>
      </w:r>
    </w:p>
    <w:p w:rsidR="00000000" w:rsidRDefault="00AA524D">
      <w:pPr>
        <w:pStyle w:val="underpoint"/>
        <w:divId w:val="1513951238"/>
      </w:pPr>
      <w:r>
        <w:lastRenderedPageBreak/>
        <w:t>4.2. определить этапы внедрения государственных социальных стандартов во всех городах и районах республики.</w:t>
      </w:r>
    </w:p>
    <w:p w:rsidR="00000000" w:rsidRDefault="00AA524D">
      <w:pPr>
        <w:pStyle w:val="point"/>
        <w:divId w:val="1513951238"/>
      </w:pPr>
      <w:r>
        <w:t xml:space="preserve">5. Министерству информации, другим республиканским органам государственного управления, облисполкомам </w:t>
      </w:r>
      <w:r>
        <w:t xml:space="preserve">и Минскому горисполкому обеспечить регулярное освещение в средствах массовой информации хода внедрения </w:t>
      </w:r>
      <w:hyperlink w:anchor="a53" w:tooltip="+" w:history="1">
        <w:r>
          <w:rPr>
            <w:rStyle w:val="a3"/>
          </w:rPr>
          <w:t>системы</w:t>
        </w:r>
      </w:hyperlink>
      <w:r>
        <w:t xml:space="preserve"> государственных социальных стандартов по обслуживанию населения республики.</w:t>
      </w:r>
    </w:p>
    <w:p w:rsidR="00000000" w:rsidRDefault="00AA524D">
      <w:pPr>
        <w:pStyle w:val="point"/>
        <w:divId w:val="1513951238"/>
      </w:pPr>
      <w:r>
        <w:t>6. Республиканским органам государст</w:t>
      </w:r>
      <w:r>
        <w:t>венного управления, облисполкомам и Минскому горисполкому:</w:t>
      </w:r>
    </w:p>
    <w:p w:rsidR="00000000" w:rsidRDefault="00AA524D">
      <w:pPr>
        <w:pStyle w:val="underpoint"/>
        <w:divId w:val="1513951238"/>
      </w:pPr>
      <w:r>
        <w:t>6.1. обеспечить контроль и регулирование цен на оказываемые населению услуги;</w:t>
      </w:r>
    </w:p>
    <w:p w:rsidR="00000000" w:rsidRDefault="00AA524D">
      <w:pPr>
        <w:pStyle w:val="underpoint"/>
        <w:divId w:val="1513951238"/>
      </w:pPr>
      <w:r>
        <w:t xml:space="preserve">6.2. привлекать коммерческие организации и индивидуальных предпринимателей к работе по внедрению </w:t>
      </w:r>
      <w:hyperlink w:anchor="a53" w:tooltip="+" w:history="1">
        <w:r>
          <w:rPr>
            <w:rStyle w:val="a3"/>
          </w:rPr>
          <w:t>системы</w:t>
        </w:r>
      </w:hyperlink>
      <w:r>
        <w:t xml:space="preserve"> государственных социальных стандартов по обслуживанию населения республики, а также развитию материально-технической базы организаций, оказывающих услуги населению;</w:t>
      </w:r>
    </w:p>
    <w:p w:rsidR="00000000" w:rsidRDefault="00AA524D">
      <w:pPr>
        <w:pStyle w:val="underpoint"/>
        <w:divId w:val="1513951238"/>
      </w:pPr>
      <w:bookmarkStart w:id="6" w:name="a21"/>
      <w:bookmarkEnd w:id="6"/>
      <w:r>
        <w:t>6.3. при необходимости привести свои нормативные правовые акты в соответ</w:t>
      </w:r>
      <w:r>
        <w:t>ствие с настоящим постановлением.</w:t>
      </w:r>
    </w:p>
    <w:p w:rsidR="00000000" w:rsidRDefault="00AA524D">
      <w:pPr>
        <w:pStyle w:val="point"/>
        <w:divId w:val="1513951238"/>
      </w:pPr>
      <w:r>
        <w:t>7. Республиканским органам государственного управления изучить вопрос о целесообразности изменения норм законов, определяющих правовые основы формирования и применения государственных социальных стандартов, и при необходим</w:t>
      </w:r>
      <w:r>
        <w:t>ости внести в установленном порядке предложения в план подготовки законопроектов на 2004 год.</w:t>
      </w:r>
    </w:p>
    <w:p w:rsidR="00000000" w:rsidRDefault="00AA524D">
      <w:pPr>
        <w:pStyle w:val="point"/>
        <w:divId w:val="1513951238"/>
      </w:pPr>
      <w:r>
        <w:t xml:space="preserve">8. Рекомендовать профсоюзным организациям и территориальным подразделениям общественного объединения «Белорусский республиканский союз молодежи» принять активное </w:t>
      </w:r>
      <w:r>
        <w:t xml:space="preserve">участие в работе по внедрению </w:t>
      </w:r>
      <w:hyperlink w:anchor="a53" w:tooltip="+" w:history="1">
        <w:r>
          <w:rPr>
            <w:rStyle w:val="a3"/>
          </w:rPr>
          <w:t>системы</w:t>
        </w:r>
      </w:hyperlink>
      <w:r>
        <w:t xml:space="preserve"> государственных социальных стандартов по обслуживанию населения республики.</w:t>
      </w:r>
    </w:p>
    <w:p w:rsidR="00000000" w:rsidRDefault="00AA524D">
      <w:pPr>
        <w:pStyle w:val="point"/>
        <w:divId w:val="1513951238"/>
      </w:pPr>
      <w:bookmarkStart w:id="7" w:name="a58"/>
      <w:bookmarkEnd w:id="7"/>
      <w:r>
        <w:t>9. Персональную ответственность за невыполнение нормативов государственных социальных стандартов по обслужива</w:t>
      </w:r>
      <w:r>
        <w:t>нию населения, непринятие мер по их своевременному внедрению и выполнению несут руководители республиканских органов государственного управления, местных исполнительных и распорядительных органов.</w:t>
      </w:r>
    </w:p>
    <w:p w:rsidR="00000000" w:rsidRDefault="00AA524D">
      <w:pPr>
        <w:pStyle w:val="newncpi"/>
        <w:divId w:val="1513951238"/>
      </w:pPr>
      <w:r>
        <w:t>10. Координацию работы по внедрению и выполнению нормативов</w:t>
      </w:r>
      <w:r>
        <w:t xml:space="preserve"> </w:t>
      </w:r>
      <w:hyperlink w:anchor="a53" w:tooltip="+" w:history="1">
        <w:r>
          <w:rPr>
            <w:rStyle w:val="a3"/>
          </w:rPr>
          <w:t>системы</w:t>
        </w:r>
      </w:hyperlink>
      <w:r>
        <w:t xml:space="preserve"> государственных социальных стандартов в республике и ее методическое руководство возложить на Министерство экономики.</w:t>
      </w:r>
    </w:p>
    <w:p w:rsidR="00000000" w:rsidRDefault="00AA524D">
      <w:pPr>
        <w:pStyle w:val="newncpi"/>
        <w:divId w:val="15139512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513951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524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524D">
            <w:pPr>
              <w:pStyle w:val="newncpi0"/>
              <w:jc w:val="right"/>
            </w:pPr>
            <w:r>
              <w:rPr>
                <w:rStyle w:val="pers"/>
              </w:rPr>
              <w:t>Г.Новицкий</w:t>
            </w:r>
          </w:p>
        </w:tc>
      </w:tr>
    </w:tbl>
    <w:p w:rsidR="00000000" w:rsidRDefault="00AA524D">
      <w:pPr>
        <w:pStyle w:val="newncpi0"/>
        <w:divId w:val="15139512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513951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append1"/>
            </w:pPr>
            <w:r>
              <w:t>Приложение</w:t>
            </w:r>
          </w:p>
          <w:p w:rsidR="00000000" w:rsidRDefault="00AA524D">
            <w:pPr>
              <w:pStyle w:val="append"/>
            </w:pPr>
            <w:r>
              <w:t xml:space="preserve">к </w:t>
            </w:r>
            <w:hyperlink w:anchor="a18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30.05.2003 № 724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14.12.2020 № 720) </w:t>
            </w:r>
          </w:p>
        </w:tc>
      </w:tr>
    </w:tbl>
    <w:p w:rsidR="00000000" w:rsidRDefault="00AA524D">
      <w:pPr>
        <w:pStyle w:val="titlep"/>
        <w:jc w:val="left"/>
        <w:divId w:val="1513951238"/>
      </w:pPr>
      <w:bookmarkStart w:id="8" w:name="a53"/>
      <w:bookmarkEnd w:id="8"/>
      <w:r>
        <w:lastRenderedPageBreak/>
        <w:t>СИСТЕМА</w:t>
      </w:r>
      <w:r>
        <w:br/>
        <w:t>государственных социальных стандартов по обслуживанию населения республики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278"/>
        <w:gridCol w:w="4258"/>
      </w:tblGrid>
      <w:tr w:rsidR="00000000">
        <w:trPr>
          <w:divId w:val="1513951238"/>
          <w:trHeight w:val="240"/>
        </w:trPr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A524D">
            <w:pPr>
              <w:pStyle w:val="table10"/>
              <w:jc w:val="center"/>
            </w:pPr>
            <w:r>
              <w:t>Наименовани</w:t>
            </w:r>
            <w:r>
              <w:t>е социального стандарта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A524D">
            <w:pPr>
              <w:pStyle w:val="table10"/>
              <w:jc w:val="center"/>
            </w:pPr>
            <w:r>
              <w:t>Норматив обслуживания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A524D">
            <w:pPr>
              <w:pStyle w:val="table10"/>
              <w:jc w:val="center"/>
            </w:pPr>
            <w:r>
              <w:t>Основания для установления (определения) стандарта</w:t>
            </w:r>
          </w:p>
        </w:tc>
      </w:tr>
      <w:tr w:rsidR="00000000">
        <w:trPr>
          <w:divId w:val="1513951238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В области жилищно-коммунального хозяйства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1. Доля населения, имеющего доступ к централизованным системам водоснабжения: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28" w:anchor="a1" w:tooltip="+" w:history="1">
              <w:r>
                <w:rPr>
                  <w:rStyle w:val="a3"/>
                </w:rPr>
                <w:t>Директива</w:t>
              </w:r>
            </w:hyperlink>
            <w:r>
              <w:t xml:space="preserve"> Президента Республики Беларусь от 4 марта 2019 г. № 7 «О совершенствовании и развитии жилищно-коммунального хозяйства страны», Государственная программа «Комфортное жилье и благоприятная среда».</w:t>
            </w:r>
            <w:r>
              <w:br/>
              <w:t>Норматив обеспечивается с </w:t>
            </w:r>
            <w:r>
              <w:t>учетом запроса проживающего населения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в городах и городских поселках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с 2021 года – 85 процентов,</w:t>
            </w:r>
            <w:r>
              <w:br/>
              <w:t>с 2026 года – 100 процентов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в агрогородках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с 2021 года – 50 процентов,</w:t>
            </w:r>
            <w:r>
              <w:br/>
              <w:t>с 2023 года – 70 процентов,</w:t>
            </w:r>
            <w:r>
              <w:br/>
              <w:t>с 2026 года – 85 процентов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bookmarkStart w:id="9" w:name="a55"/>
            <w:bookmarkEnd w:id="9"/>
            <w:r>
              <w:t>2. Норматив отопления жилых помещений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18 °C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29" w:anchor="a2" w:tooltip="+" w:history="1">
              <w:r>
                <w:rPr>
                  <w:rStyle w:val="a3"/>
                </w:rPr>
                <w:t>СН</w:t>
              </w:r>
            </w:hyperlink>
            <w:r>
              <w:t xml:space="preserve"> 3.02.01-2019 «Жилые здания»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3. Норматив температуры горячей воды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50 °C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30" w:anchor="a235" w:tooltip="+" w:history="1">
              <w:r>
                <w:rPr>
                  <w:rStyle w:val="a3"/>
                </w:rPr>
                <w:t>СН</w:t>
              </w:r>
            </w:hyperlink>
            <w:r>
              <w:t xml:space="preserve"> 4.01.03-20</w:t>
            </w:r>
            <w:r>
              <w:t xml:space="preserve">19 «Системы внутреннего водоснабжения и канализации зданий», Санитарные нормы, </w:t>
            </w:r>
            <w:hyperlink r:id="rId31" w:anchor="a2" w:tooltip="+" w:history="1">
              <w:r>
                <w:rPr>
                  <w:rStyle w:val="a3"/>
                </w:rPr>
                <w:t>правила</w:t>
              </w:r>
            </w:hyperlink>
            <w:r>
              <w:t xml:space="preserve"> и гигиенические нормативы «Гигиенические требования к устройству и эксплуатации систем централизованного горячего водо</w:t>
            </w:r>
            <w:r>
              <w:t>снабжения», утвержденные постановлением Министерства здравоохранения Республики Беларусь от 30 декабря 2009 г. № 142, согласно которым температура горячей воды в местах водоразбора предусматривается от 50 до 75 °C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4. Норматив подачи горячей воды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ежедневно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до 2025 года в исключительных случаях с учетом имеющихся финансово-технических возможностей при обеспечении соблюдения санитарно-гигиенических требований разрешается в межотопительный период осуществлять подачу горячей воды по графикам, утвержденным местн</w:t>
            </w:r>
            <w:r>
              <w:t>ыми исполнительными и распорядительными органами, но не менее двух дней в неделю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bookmarkStart w:id="10" w:name="a57"/>
            <w:bookmarkEnd w:id="10"/>
            <w:r>
              <w:t>5. Удельный вес освещенных улиц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85 процентов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 xml:space="preserve">среднеобластные показатели в настоящее время составляют от 86,7 до 99,5 процента 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6. Удельный вес улиц с </w:t>
            </w:r>
            <w:r>
              <w:t>усовершенствованным покрытием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60 процентов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среднеобластные показатели в настоящее время составляют от 62,4 до 99 процентов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7. Наличие общественных уборных в городах и городских поселках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одного прибора на 1 тыс. человек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32" w:anchor="a86" w:tooltip="+" w:history="1">
              <w:r>
                <w:rPr>
                  <w:rStyle w:val="a3"/>
                </w:rPr>
                <w:t>ТКП</w:t>
              </w:r>
            </w:hyperlink>
            <w:r>
              <w:t xml:space="preserve"> 45-3.01-116-2008 «Градостроительство. Населенные пункты. Нормы планировки и застройки», таблица 7.3</w:t>
            </w:r>
          </w:p>
        </w:tc>
      </w:tr>
      <w:tr w:rsidR="00000000">
        <w:trPr>
          <w:divId w:val="1513951238"/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В области образования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8. Норматив обеспеченности детей раннего и дошкольного возраста местами в учреждениях дошко</w:t>
            </w:r>
            <w:r>
              <w:t xml:space="preserve">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 уровне дошкольного образования, образовательную программу </w:t>
            </w:r>
            <w:r>
              <w:lastRenderedPageBreak/>
              <w:t>специального обра</w:t>
            </w:r>
            <w:r>
              <w:t>зования на уровне дошкольного образования для лиц с интеллектуальной недостаточностью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lastRenderedPageBreak/>
              <w:t>85 процентов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статьи </w:t>
            </w:r>
            <w:hyperlink r:id="rId33" w:anchor="a9" w:tooltip="+" w:history="1">
              <w:r>
                <w:rPr>
                  <w:rStyle w:val="a3"/>
                </w:rPr>
                <w:t>2</w:t>
              </w:r>
            </w:hyperlink>
            <w:r>
              <w:t xml:space="preserve"> и 3 Кодекса Республики Беларусь об образовании, </w:t>
            </w:r>
            <w:hyperlink r:id="rId34" w:anchor="a24" w:tooltip="+" w:history="1">
              <w:r>
                <w:rPr>
                  <w:rStyle w:val="a3"/>
                </w:rPr>
                <w:t>Закон</w:t>
              </w:r>
            </w:hyperlink>
            <w:r>
              <w:t xml:space="preserve"> Республики Беларусь от 19 ноября 1993 г. № 2570-XII «О правах ребенка»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lastRenderedPageBreak/>
              <w:t>9. Норматив охвата детей пятилетнего возраста подготовкой к обучению в учреждениях общего среднего образования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35" w:anchor="a473" w:tooltip="+" w:history="1">
              <w:r>
                <w:rPr>
                  <w:rStyle w:val="a3"/>
                </w:rPr>
                <w:t>пункт 4</w:t>
              </w:r>
            </w:hyperlink>
            <w:r>
              <w:t xml:space="preserve"> статьи 152 Кодекса Республики Беларусь об образовании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10. Норматив бюджетной обеспеченности расходов на одного воспитанника в 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2200 рублей в год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с</w:t>
            </w:r>
            <w:r>
              <w:t>татьи </w:t>
            </w:r>
            <w:hyperlink r:id="rId36" w:anchor="a10" w:tooltip="+" w:history="1">
              <w:r>
                <w:rPr>
                  <w:rStyle w:val="a3"/>
                </w:rPr>
                <w:t>3</w:t>
              </w:r>
            </w:hyperlink>
            <w:r>
              <w:t xml:space="preserve"> и </w:t>
            </w:r>
            <w:hyperlink r:id="rId37" w:anchor="a164" w:tooltip="+" w:history="1">
              <w:r>
                <w:rPr>
                  <w:rStyle w:val="a3"/>
                </w:rPr>
                <w:t>137</w:t>
              </w:r>
            </w:hyperlink>
            <w:r>
              <w:t xml:space="preserve"> Кодекса Республики Беларусь об образовании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11. Норматив бюджетной обеспеченности расходов в расчете на одного учащегося в </w:t>
            </w:r>
            <w:r>
              <w:t>учреждениях общего среднего образования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1700 рублей в год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12. Норматив бюджетной обеспеченности расходов в расчете на одного учащегося в специальных общеобразовательных школах (специальных общеобразовательных школах-интернатах), вспомогательных</w:t>
            </w:r>
            <w:r>
              <w:t xml:space="preserve"> школах (вспомогательных школах-интернатах), центрах коррекционно-развивающего обучения и реабилитации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7900 рублей в год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статьи </w:t>
            </w:r>
            <w:hyperlink r:id="rId38" w:anchor="a9" w:tooltip="+" w:history="1">
              <w:r>
                <w:rPr>
                  <w:rStyle w:val="a3"/>
                </w:rPr>
                <w:t>2</w:t>
              </w:r>
            </w:hyperlink>
            <w:r>
              <w:t>, 3 и </w:t>
            </w:r>
            <w:hyperlink r:id="rId39" w:anchor="a164" w:tooltip="+" w:history="1">
              <w:r>
                <w:rPr>
                  <w:rStyle w:val="a3"/>
                </w:rPr>
                <w:t>137</w:t>
              </w:r>
            </w:hyperlink>
            <w:r>
              <w:t xml:space="preserve"> Ко</w:t>
            </w:r>
            <w:r>
              <w:t>декса Республики Беларусь об образовании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13. Норматив бюджетной обеспеченности расходов в расчете на одного учащегося в учреждениях профессионально-технического образования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3800 рублей в год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статьи </w:t>
            </w:r>
            <w:hyperlink r:id="rId40" w:anchor="a10" w:tooltip="+" w:history="1">
              <w:r>
                <w:rPr>
                  <w:rStyle w:val="a3"/>
                </w:rPr>
                <w:t>3</w:t>
              </w:r>
            </w:hyperlink>
            <w:r>
              <w:t xml:space="preserve"> и </w:t>
            </w:r>
            <w:hyperlink r:id="rId41" w:anchor="a164" w:tooltip="+" w:history="1">
              <w:r>
                <w:rPr>
                  <w:rStyle w:val="a3"/>
                </w:rPr>
                <w:t>137</w:t>
              </w:r>
            </w:hyperlink>
            <w:r>
              <w:t xml:space="preserve"> Кодекса Республики Беларусь об образовании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14. Норматив бюджетной обеспеченности расходов в расчете на одного учащегося в учреждениях дополнительного образования детей и молодежи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120 рублей в год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15. Норматив обеспеченности учащихся начальных, базовых, средних школ, вечерних школ, гимназий, лицеев общей площадью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8 кв. метров на одного учащегося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 xml:space="preserve">норматив обеспечивает образовательный процесс в учреждениях общего среднего </w:t>
            </w:r>
            <w:r>
              <w:t>образования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16. Норматив обеспеченности учащихся начальных, базовых, средних школ, вечерних школ, гимназий, лицеев: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норматив обеспечивает выполнение учебной программы по учебному предмету «Физическая культура и здоровье»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спортивными плоскостными сооружениями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1,62 кв. метра на одного учащегося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зданиями спортивного назначения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0,5 кв. метра на одного учащегося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17. Норматив обеспеченности учащихся учреждений общего среднего образования, профессионально-технического образ</w:t>
            </w:r>
            <w:r>
              <w:t xml:space="preserve">ования, специальных общеобразовательных школ </w:t>
            </w:r>
            <w:r>
              <w:lastRenderedPageBreak/>
              <w:t>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lastRenderedPageBreak/>
              <w:t>один компьютер, в том числе портативный, на 10 учащихся или не менее двух комп</w:t>
            </w:r>
            <w:r>
              <w:t>ьютерных классов на учреждение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норматив обеспечивает выполнение учебной программы по учебным предметам «Информатика», «Элементы компьютерной грамоты»</w:t>
            </w:r>
          </w:p>
        </w:tc>
      </w:tr>
      <w:tr w:rsidR="00000000">
        <w:trPr>
          <w:divId w:val="1513951238"/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lastRenderedPageBreak/>
              <w:t>В области культуры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18. Норматив обеспеченности: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18.1. расходов на культуру в расчете на одного че</w:t>
            </w:r>
            <w:r>
              <w:t>ловека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1,5 базовой величины на одного человека за счет бюджетного финансирования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42" w:anchor="a1" w:tooltip="+" w:history="1">
              <w:r>
                <w:rPr>
                  <w:rStyle w:val="a3"/>
                </w:rPr>
                <w:t>Кодекс</w:t>
              </w:r>
            </w:hyperlink>
            <w:r>
              <w:t xml:space="preserve"> Республики Беларусь о культуре.</w:t>
            </w:r>
            <w:r>
              <w:br/>
              <w:t>Норматив отражает размер средств в расчете на </w:t>
            </w:r>
            <w:r>
              <w:t>одного человека, обеспечивающих предоставление минимального перечня общедоступных социальных услуг организаций культуры, а также позволяющих сохранить существующую сеть библиотек, клубных учреждений, музеев и организаций кинематографии, осуществляющих прок</w:t>
            </w:r>
            <w:r>
              <w:t>ат и показ фильмов.</w:t>
            </w:r>
            <w:r>
              <w:br/>
              <w:t>Определяется ежегодно при утверждении республиканского и местных бюджетов в установленном порядке.</w:t>
            </w:r>
            <w:r>
              <w:br/>
              <w:t>Облисполкомы и Минский горисполком имеют право устанавливать дифференцированный норматив для административно-территориальных единиц, не у</w:t>
            </w:r>
            <w:r>
              <w:t>меньшая его в целом по области (г. Минску)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18.2. агрогородков: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организациями культуры, предоставляющими услуги клубов и библиотек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одного клуба и библиотеки или организации культуры смешанного типа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43" w:anchor="a1" w:tooltip="+" w:history="1">
              <w:r>
                <w:rPr>
                  <w:rStyle w:val="a3"/>
                </w:rPr>
                <w:t>Кодекс</w:t>
              </w:r>
            </w:hyperlink>
            <w:r>
              <w:t xml:space="preserve"> Республики Беларусь о культуре.</w:t>
            </w:r>
            <w:r>
              <w:br/>
              <w:t>Норматив обеспечивает предоставление минимального объема библиотечно-информационного обслуживания и услуг клубов в агрогородках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услугами по показу фильмов с использованием стационарной либо передвижной установ</w:t>
            </w:r>
            <w:r>
              <w:t>ки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44" w:anchor="a1" w:tooltip="+" w:history="1">
              <w:r>
                <w:rPr>
                  <w:rStyle w:val="a3"/>
                </w:rPr>
                <w:t>Кодекс</w:t>
              </w:r>
            </w:hyperlink>
            <w:r>
              <w:t xml:space="preserve"> Республики Беларусь о культуре.</w:t>
            </w:r>
            <w:r>
              <w:br/>
              <w:t>Оказание услуг по показу фильмов с использованием стационарной либо передвижной установки осуществляется по графикам, утвержденным местными исполните</w:t>
            </w:r>
            <w:r>
              <w:t>льными и распорядительными органами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19. Норматив обеспеченности административно-территориальной единицы (района) кинозалом, оборудованным для показа фильмов в цифровом формате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одного кинозала, оснащенного цифровым оборудованием, в административно</w:t>
            </w:r>
            <w:r>
              <w:t>-территориальной единице (районе) с численностью населения 70 тыс. человек и более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45" w:anchor="a1" w:tooltip="+" w:history="1">
              <w:r>
                <w:rPr>
                  <w:rStyle w:val="a3"/>
                </w:rPr>
                <w:t>Кодекс</w:t>
              </w:r>
            </w:hyperlink>
            <w:r>
              <w:t xml:space="preserve"> Республики Беларусь о культуре, Государственная программа «Культура Беларуси».</w:t>
            </w:r>
            <w:r>
              <w:br/>
              <w:t>Норматив обеспечивает доступность со</w:t>
            </w:r>
            <w:r>
              <w:t>циально значимой услуги в сфере культуры</w:t>
            </w:r>
          </w:p>
        </w:tc>
      </w:tr>
      <w:tr w:rsidR="00000000">
        <w:trPr>
          <w:divId w:val="1513951238"/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В области связи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20. Срок удовлетворения заявления на установку телефона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более одного года с момента подачи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46" w:anchor="a4" w:tooltip="+" w:history="1">
              <w:r>
                <w:rPr>
                  <w:rStyle w:val="a3"/>
                </w:rPr>
                <w:t>Правила</w:t>
              </w:r>
            </w:hyperlink>
            <w:r>
              <w:t xml:space="preserve"> </w:t>
            </w:r>
            <w:r>
              <w:t>оказания услуг электросвязи, утвержденные постановлением Совета Министров Республики Беларусь от 17 августа 2006 г. № 1055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21. Обеспечение возможности оказания услуг широкополосного доступа в сеть Интернет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в каждом населенном пункте с населением 300 жител</w:t>
            </w:r>
            <w:r>
              <w:t>ей и более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22. Норматив телефонизации учреждений здравоохранения, в том числе в агрогородках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23. Частота доставки почты: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lastRenderedPageBreak/>
              <w:t>в районах, в том числе в агрогородках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раз в день не менее пяти дней в неделю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47" w:anchor="a90" w:tooltip="+" w:history="1">
              <w:r>
                <w:rPr>
                  <w:rStyle w:val="a3"/>
                </w:rPr>
                <w:t>Правила</w:t>
              </w:r>
            </w:hyperlink>
            <w:r>
              <w:t xml:space="preserve"> оказания услуг почтовой связи общего пользования, утвержденные постановлением Совета Министров Республики Беларусь от 7 сентября 2004 г. № 1111, </w:t>
            </w:r>
            <w:hyperlink r:id="rId48"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Министерства с</w:t>
            </w:r>
            <w:r>
              <w:t>вязи и информатизации Республики Беларусь от 28 января 2009 г. № 3 «О сроках пересылки и доставки почтовых отправлений, за исключением универсальных услуг почтовой связи, и признании утратившим силу постановления Министерства связи и информатизации Республ</w:t>
            </w:r>
            <w:r>
              <w:t>ики Беларусь от 14 июля 2006 г. № 22»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в областных центрах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один-два раза в день шесть дней в неделю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24. Обеспечение доступа населения в сельской местности к </w:t>
            </w:r>
            <w:r>
              <w:t>услугам почтовой связи, оказываемым национальным оператором почтовой связи посредством сервиса «Мобильный почтальон»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49" w:anchor="a10" w:tooltip="+" w:history="1">
              <w:r>
                <w:rPr>
                  <w:rStyle w:val="a3"/>
                </w:rPr>
                <w:t>Закон</w:t>
              </w:r>
            </w:hyperlink>
            <w:r>
              <w:t xml:space="preserve"> Республики Беларусь от 15 декабря 2003 г. № 258-З «О почтовой связи</w:t>
            </w:r>
            <w:r>
              <w:t xml:space="preserve">», </w:t>
            </w:r>
            <w:hyperlink r:id="rId50" w:anchor="a90" w:tooltip="+" w:history="1">
              <w:r>
                <w:rPr>
                  <w:rStyle w:val="a3"/>
                </w:rPr>
                <w:t>Правила</w:t>
              </w:r>
            </w:hyperlink>
            <w:r>
              <w:t xml:space="preserve"> оказания услуг почтовой связи общего пользования.</w:t>
            </w:r>
            <w:r>
              <w:br/>
              <w:t>Норматив обеспечивается на основании поступающих заявок от населения</w:t>
            </w:r>
          </w:p>
        </w:tc>
      </w:tr>
      <w:tr w:rsidR="00000000">
        <w:trPr>
          <w:divId w:val="1513951238"/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В области транспорта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25. Норматив наличия пассажирских терминалов для </w:t>
            </w:r>
            <w:r>
              <w:t>обслуживания пассажиров автобусных маршрутов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один-два пассажирских терминала на один район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51" w:anchor="a72" w:tooltip="+" w:history="1">
              <w:r>
                <w:rPr>
                  <w:rStyle w:val="a3"/>
                </w:rPr>
                <w:t>Закон</w:t>
              </w:r>
            </w:hyperlink>
            <w:r>
              <w:t xml:space="preserve"> Республики Беларусь от 14 августа 2007 г. № 278-З «Об автомобильном транспорте и </w:t>
            </w:r>
            <w:r>
              <w:t xml:space="preserve">автомобильных перевозках», </w:t>
            </w:r>
            <w:hyperlink r:id="rId52" w:anchor="a6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Совета Министров Республики Беларусь от 30 июня 2008 г. № 972 «О некоторых вопросах автомобильных перевозок пассажиров»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26. Охват транспортным обслуживанием (с уче</w:t>
            </w:r>
            <w:r>
              <w:t>том железнодорожного транспорта и внутреннего водного транспорта в навигационный период):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административных центров сельсоветов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100 процентов при обязательном выполнении не менее 16 рейсов в неделю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агрогородков с численностью населения более 1 тыс. </w:t>
            </w:r>
            <w:r>
              <w:t>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100 процентов при обязательном выполнении не менее 28 рейсов в неделю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27. Охват транспортным обслуживанием (с учетом железнодорожного транспорта и внутреннего водного транспорта в навигационный период) населенных пунктов с </w:t>
            </w:r>
            <w:r>
              <w:t>численностью населения: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от 20 до 50 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100 процентов с обязательным выполнением не менее четырех рейсов в неделю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свыше 50 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100 процентов с обязательным выполнением не менее восьми рейсов в неделю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28. Зона охвата населенных пунктов с </w:t>
            </w:r>
            <w:r>
              <w:t xml:space="preserve">численностью населения от 20 человек транспортным обслуживанием (с учетом железнодорожного транспорта и внутреннего водного транспорта </w:t>
            </w:r>
            <w:r>
              <w:lastRenderedPageBreak/>
              <w:t>в навигационный период)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lastRenderedPageBreak/>
              <w:t>до 3 км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lastRenderedPageBreak/>
              <w:t>29. Норматив обслуживания населения в рамках городских перевозок для городов и городск</w:t>
            </w:r>
            <w:r>
              <w:t>их поселков с численностью: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норматив определен с учетом перевозки пассажиров в регулярном сообщении в рабочие, выходные и праздничные дни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от 10 до 30 тыс. 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автобус на 8 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от 30 до 50 тыс. 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автобус на 4 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от 50 до 250 тыс. 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автобус (троллейбус, трамвай) на 2 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от 250 до 1000 тыс. 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автобус (троллейбус, трамвай) на 1,5 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свыше 1000 тыс. 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автобус (троллейбус, трамвай, вагон метрополитена) на 2 тыс.</w:t>
            </w:r>
            <w:r>
              <w:t>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30. Норматив обслуживания населения на маршрутах междугородных внутриобластных автомобильных перевозок в регулярном сообщении (с учетом железнодорожного транспорта и внутреннего водного транспорта в навигационный период)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ежедневно один оборот (д</w:t>
            </w:r>
            <w:r>
              <w:t>ва рейса) между районным и областным центрами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норматив определен с учетом перевозки пассажиров в регулярном сообщении в рабочие, выходные и праздничные дни</w:t>
            </w:r>
          </w:p>
        </w:tc>
      </w:tr>
      <w:tr w:rsidR="00000000">
        <w:trPr>
          <w:divId w:val="1513951238"/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В области социального обслуживания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31. Норматив обеспеченности центрами социального обслуживания населения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центр на административный район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53" w:anchor="a182" w:tooltip="+" w:history="1">
              <w:r>
                <w:rPr>
                  <w:rStyle w:val="a3"/>
                </w:rPr>
                <w:t>перечень</w:t>
              </w:r>
            </w:hyperlink>
            <w:r>
              <w:t xml:space="preserve"> бесплатных и общедоступных социальных услуг государственных учреждений социального </w:t>
            </w:r>
            <w:r>
              <w:t xml:space="preserve">обслуживания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1218, </w:t>
            </w:r>
            <w:hyperlink r:id="rId54" w:anchor="a8" w:tooltip="+" w:history="1">
              <w:r>
                <w:rPr>
                  <w:rStyle w:val="a3"/>
                </w:rPr>
                <w:t>Положение</w:t>
              </w:r>
            </w:hyperlink>
            <w:r>
              <w:t xml:space="preserve"> о территориальном центре</w:t>
            </w:r>
            <w:r>
              <w:t xml:space="preserve"> социального обслуживания населения, утвержденное постановлением Министерства труда и социальной защиты Республики Беларусь от 10 января 2013 г. № 5 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32. Норматив обеспеченности жилой площадью в стационарных учреждениях социального обслуживания в расчете: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55"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Министерства здравоохранения Республики Беларусь от 31 декабря 2013 г. № 136 «Об утверждении Санитарных норм и правил «Требования для учреждений социального обслуживания, осуществляющих ст</w:t>
            </w:r>
            <w:r>
              <w:t>ационарное и полустационарное социальное обслуживание»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 xml:space="preserve">на одного проживающего 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7 кв. метров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на одного проживающего с частичной утратой способности к самообслуживанию или находящегося на постельном режиме с полной утратой способности к самообслу</w:t>
            </w:r>
            <w:r>
              <w:t>живанию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6 кв. метров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В области здравоохранения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33. Норматив бюджетной обеспеченности расходов на здравоохранение в расчете на одного жителя в среднем по республике; среднереспубликанский областей и г. Минска; по каждой области и г. Минску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в размерах, установленных законом о республиканском бюджете на очередной финансовый год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56" w:anchor="a107" w:tooltip="+" w:history="1">
              <w:r>
                <w:rPr>
                  <w:rStyle w:val="a3"/>
                </w:rPr>
                <w:t>статья 13</w:t>
              </w:r>
            </w:hyperlink>
            <w:r>
              <w:t xml:space="preserve"> Закона Республики Беларусь от 18 июня 1993 г. № 2435-XII «О здравоохранении», </w:t>
            </w:r>
            <w:hyperlink r:id="rId57" w:anchor="a3" w:tooltip="+" w:history="1">
              <w:r>
                <w:rPr>
                  <w:rStyle w:val="a3"/>
                </w:rPr>
                <w:t>Инструкция</w:t>
              </w:r>
            </w:hyperlink>
            <w:r>
              <w:t xml:space="preserve"> о порядке исчисления норматива бюджетной обеспеченности расходов на здравоохранение в расчете на одного жителя, утвержденная постановлением Министерства здравоохранения Республики Беларусь и Министерства финансов Республ</w:t>
            </w:r>
            <w:r>
              <w:t>ики Беларусь от 30 марта 2010 г. № 38/55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lastRenderedPageBreak/>
              <w:t>34. Норматив обеспеченности врачами общей практики, участковыми врачами (терапевтами и педиатрами суммарно):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врач на 1,3 тыс. жителей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норматив определяется показателем численности населения, обслуживаемого одн</w:t>
            </w:r>
            <w:r>
              <w:t>им участковым врачом (терапевтом и педиатром суммарно), врачом общей практики по занятым должностям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в том числе: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участковыми врачами-терапевтами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врач на 1,7 тыс. взрослого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участковыми врачами-педиатрами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 xml:space="preserve">один врач на 0,8 тыс. детского </w:t>
            </w:r>
            <w:r>
              <w:t>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врачами общей практики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врач на 1,3 тыс. взрослого и детского населения</w:t>
            </w:r>
          </w:p>
          <w:p w:rsidR="00000000" w:rsidRDefault="00AA524D">
            <w:pPr>
              <w:pStyle w:val="table10"/>
              <w:spacing w:before="120"/>
            </w:pPr>
            <w:r>
              <w:t>один врач на 1,5 тыс. взрослого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35. Норматив обеспеченности: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35.1. койками в больничных организациях: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девять коек на 1 тыс. жителей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норматив определяется как минимальное количество коек в больничных организациях с круглосуточным пребыванием с учетом оказания стационарной помощи на республиканском уровне без учета больниц сестринского ухода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в том числе для г. Минска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восемь коек на 1 ты</w:t>
            </w:r>
            <w:r>
              <w:t>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35.2. аптеками: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 xml:space="preserve">норматив определяется как минимальное количество аптек всех форм собственности, осуществляющих розничную реализацию лекарственных средств и изделий медицинского назначения 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для регионов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одна аптека на 8 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для г.</w:t>
            </w:r>
            <w:r>
              <w:t> Минска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одна аптека на 11,5 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35.3. бригадами скорой медицинской помощи: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 xml:space="preserve">норматив учитывает наличие врачебных, фельдшерских и специализированных бригад скорой медицинской помощи (суммарно) 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для областей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две бригады скорой медицинской помощи в районах с населением до 15 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три бригады скорой медицинской помощи в районах с населением от 15 до 35 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в районах с населением свыше 35 тыс. жителей три бригады скорой медицинской помощи</w:t>
            </w:r>
            <w:r>
              <w:t xml:space="preserve"> на 35 тыс. жителей и дополнительно одна бригада скорой медицинской помощи на каждые 12 тыс. жителей сверх 35 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для г. Минска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одна бригада скорой медицинской помощи на 12 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35.4. специальными автомобилями: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норматив предусматривает наличие в каждой амбулатории, больнице сестринского ухода специального автомобиля «медицинская помощь», в каждой участковой больнице – в зависимости от коечного фонда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амбулаторий, больниц сестринского ухода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специальный автомо</w:t>
            </w:r>
            <w:r>
              <w:t>биль «медицинская помощь»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участковых больниц с коечным фондом: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20 коек и менее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один специальный автомобиль «медицинская помощь»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более 20 коек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два специальных автомобиля «медицинская помощь»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lastRenderedPageBreak/>
              <w:t>В области торговли, общественного питания и бытового обс</w:t>
            </w:r>
            <w:r>
              <w:t>луживания</w:t>
            </w:r>
          </w:p>
        </w:tc>
      </w:tr>
      <w:tr w:rsidR="00000000">
        <w:trPr>
          <w:divId w:val="15139512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200"/>
            </w:tblGrid>
            <w:tr w:rsidR="00000000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AA524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Рисунок 1" descr="C:\fake\image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fake\image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909090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AA524D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От редакции «Бизнес-Инфо»</w:t>
                  </w:r>
                </w:p>
                <w:p w:rsidR="00000000" w:rsidRDefault="00AA524D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 порядке оценки выполнения нормативов государственных социальных стандартов в области торговли и общественного питания см.</w:t>
                  </w:r>
                  <w:r>
                    <w:rPr>
                      <w:sz w:val="22"/>
                      <w:szCs w:val="22"/>
                    </w:rPr>
                    <w:t> </w:t>
                  </w:r>
                  <w:hyperlink r:id="rId59" w:anchor="a3" w:tooltip="+" w:history="1">
                    <w:r>
                      <w:rPr>
                        <w:rStyle w:val="a3"/>
                        <w:sz w:val="22"/>
                        <w:szCs w:val="22"/>
                      </w:rPr>
                      <w:t>Инструкцию</w:t>
                    </w:r>
                  </w:hyperlink>
                  <w:r>
                    <w:rPr>
                      <w:sz w:val="22"/>
                      <w:szCs w:val="22"/>
                    </w:rPr>
                    <w:t>, утвержденную постановле</w:t>
                  </w:r>
                  <w:r>
                    <w:rPr>
                      <w:sz w:val="22"/>
                      <w:szCs w:val="22"/>
                    </w:rPr>
                    <w:t>нием Министерства антимонопольного регулирования и торговли Республики Беларусь 20.10.2017 № 57.</w:t>
                  </w:r>
                </w:p>
              </w:tc>
            </w:tr>
          </w:tbl>
          <w:p w:rsidR="00000000" w:rsidRDefault="00AA524D">
            <w:pPr>
              <w:pStyle w:val="newncpi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36. Норматив минимальной обеспеченности населения торговой площадью: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60" w:anchor="a1" w:tooltip="+" w:history="1">
              <w:r>
                <w:rPr>
                  <w:rStyle w:val="a3"/>
                </w:rPr>
                <w:t>Закон</w:t>
              </w:r>
            </w:hyperlink>
            <w:r>
              <w:t xml:space="preserve"> Республики Беларусь от 8 </w:t>
            </w:r>
            <w:r>
              <w:t xml:space="preserve">января 2014 г. № 128-З «О государственном регулировании торговли и общественного питания в Республике Беларусь», </w:t>
            </w:r>
            <w:hyperlink r:id="rId61" w:anchor="a2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социально-экономического развития Республики Беларусь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по республике в </w:t>
            </w:r>
            <w:r>
              <w:t>целом, областям и г. Минску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в сельских населенных пунктах с численностью населения: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610 кв. метров на 1 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до 200 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при отсутствии магазинов и павильонов осуществляется торговое обслуживание автомагазинами не реже двух раз в </w:t>
            </w:r>
            <w:r>
              <w:t>неделю, магазинами и (или) павильонами близлежащих населенных пунктов, границы которых непосредственно примыкают к границам сельского населенного пункта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более 200 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одного магазина или павильона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 xml:space="preserve">37. Норматив минимальной обеспеченности </w:t>
            </w:r>
            <w:r>
              <w:t>населения местами в общедоступных объектах общественного питания: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по республике в целом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42 места на 1 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в г. Минске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45 мест на 1 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в районах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 xml:space="preserve">22 места на 1 тыс. человек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283"/>
            </w:pPr>
            <w:r>
              <w:t>в агрогородках с численностью населения: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A524D">
            <w:pPr>
              <w:pStyle w:val="table1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до 1000 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A524D">
            <w:pPr>
              <w:pStyle w:val="table1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более 1000 человек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одного объекта общественного питания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A524D">
            <w:pPr>
              <w:pStyle w:val="table10"/>
            </w:pPr>
            <w:r>
              <w:t> 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38. Норматив обеспеченности населения в сельск</w:t>
            </w:r>
            <w:r>
              <w:t>ой местности бытовыми услугами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предоставление по заявке, а также прием заказов в объектах бытового обслуживания и (или) посредством выездного обслуживания на основные виды бытовых услуг: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ремонт швейных изделий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ремонт обуви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lastRenderedPageBreak/>
              <w:t>ремонт мебели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ремон</w:t>
            </w:r>
            <w:r>
              <w:t>т бытовых машин и приборов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ремонт и техническое обслуживание бытовой радиоэлектронной аппаратуры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услуги проката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услуги парикмахерских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фотоуслуги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прием заказов в прачечную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прием заказов в химчистку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изготовление ритуальных принадлежностей</w:t>
            </w:r>
          </w:p>
          <w:p w:rsidR="00000000" w:rsidRDefault="00AA524D">
            <w:pPr>
              <w:pStyle w:val="table10"/>
              <w:spacing w:before="120"/>
            </w:pPr>
            <w:r>
              <w:t>Форма бытового обслуживания каждого сельского населенного пункта определяется решениями местных исполнительных и распорядительных органов. График обслуживания доводится до сведения населения</w:t>
            </w:r>
          </w:p>
        </w:tc>
      </w:tr>
      <w:tr w:rsidR="00000000">
        <w:trPr>
          <w:divId w:val="1513951238"/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jc w:val="center"/>
            </w:pPr>
            <w:r>
              <w:lastRenderedPageBreak/>
              <w:t>В области физической культуры и спорта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39. Норматив обеспечен</w:t>
            </w:r>
            <w:r>
              <w:t>ности: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39.1. расходов бюджета на физическую культуру и спорт в расчете на одного жителя по бюджетам: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62" w:anchor="a1" w:tooltip="+" w:history="1">
              <w:r>
                <w:rPr>
                  <w:rStyle w:val="a3"/>
                </w:rPr>
                <w:t>Закон</w:t>
              </w:r>
            </w:hyperlink>
            <w:r>
              <w:t xml:space="preserve"> Республики Беларусь от 4 января 2014 г. № 125-З «О физической культуре и спорте».</w:t>
            </w:r>
            <w:r>
              <w:br/>
              <w:t>Норматив включ</w:t>
            </w:r>
            <w:r>
              <w:t>ает средства, направляемые на обеспечение работы организаций физической культуры и спорта в соответствии с бюджетной классификацией расходов на физическую культуру и спорт, и обеспечивает в том числе: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проведение областных, городских и районных спортивных с</w:t>
            </w:r>
            <w:r>
              <w:t>оревнований и учебно-тренировочных сборов по подготовке к ним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содержание специализированных учебно-спортивных учреждений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частичное финансирование клубов по виду (видам) спорта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проведение физкультурно-оздоровительных и спортивно-массовых мероприятий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содержа</w:t>
            </w:r>
            <w:r>
              <w:t>ние областных и Минского городского учебно-методических центров физического воспитания населения, городских и районных физкультурно-оздоровительных центров (комбинатов, комплексов, центров физкультурно-оздоровительной работы), физкультурно-спортивных клубо</w:t>
            </w:r>
            <w:r>
              <w:t>в</w:t>
            </w:r>
          </w:p>
          <w:p w:rsidR="00000000" w:rsidRDefault="00AA524D">
            <w:pPr>
              <w:pStyle w:val="table10"/>
              <w:spacing w:before="120"/>
              <w:ind w:left="283"/>
            </w:pPr>
            <w:r>
              <w:t>содержание физкультурно-спортивных сооружений</w:t>
            </w: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областей и г. Минска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0,7 базовой величины на одного жителя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  <w:ind w:left="567"/>
            </w:pPr>
            <w:r>
              <w:t>городов и районов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по нормативам, утвержденным решениями облисполкомов и Минского горисполкома в пределах средств, предусмотренных в </w:t>
            </w:r>
            <w:r>
              <w:t>местных бюджетах на эти цели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13951238"/>
          <w:trHeight w:val="240"/>
        </w:trPr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39.2. агрогородков физкультурно-спортивными сооружениями (независимо от форм собственности)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r>
              <w:t>не менее одного физкультурно-спортивного сооружения (спортивная площадка, футбольное поле, спортивный зал (помещение для занятий физи</w:t>
            </w:r>
            <w:r>
              <w:t>ческими упражнениями и спортом)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524D">
            <w:pPr>
              <w:pStyle w:val="table10"/>
              <w:spacing w:before="120"/>
            </w:pPr>
            <w:hyperlink r:id="rId63" w:anchor="a86" w:tooltip="+" w:history="1">
              <w:r>
                <w:rPr>
                  <w:rStyle w:val="a3"/>
                </w:rPr>
                <w:t>ТКП</w:t>
              </w:r>
            </w:hyperlink>
            <w:r>
              <w:t xml:space="preserve"> 45-3.01-116-2008 «Градостроительство. Населенные пункты. Нормы планировки и застройки»</w:t>
            </w:r>
          </w:p>
        </w:tc>
      </w:tr>
    </w:tbl>
    <w:p w:rsidR="00000000" w:rsidRDefault="00AA524D">
      <w:pPr>
        <w:pStyle w:val="newncpi"/>
        <w:divId w:val="15139512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13951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/>
        </w:tc>
      </w:tr>
    </w:tbl>
    <w:p w:rsidR="00000000" w:rsidRDefault="00AA524D">
      <w:pPr>
        <w:divId w:val="151395123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13951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A524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A524D" w:rsidRDefault="00AA524D">
      <w:pPr>
        <w:pStyle w:val="newncpi"/>
        <w:divId w:val="1513951238"/>
      </w:pPr>
      <w:r>
        <w:t> </w:t>
      </w:r>
    </w:p>
    <w:sectPr w:rsidR="00AA524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50CD"/>
    <w:rsid w:val="006850CD"/>
    <w:rsid w:val="00AA524D"/>
    <w:rsid w:val="00C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6A7DD-8CF2-4A72-9253-D44ED806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123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118114&amp;a=1" TargetMode="External"/><Relationship Id="rId18" Type="http://schemas.openxmlformats.org/officeDocument/2006/relationships/hyperlink" Target="file:///C:\Users\User\Downloads\tx.dll%3fd=218341&amp;a=38" TargetMode="External"/><Relationship Id="rId26" Type="http://schemas.openxmlformats.org/officeDocument/2006/relationships/hyperlink" Target="file:///C:\Users\User\Downloads\tx.dll%3fd=444825&amp;a=1" TargetMode="External"/><Relationship Id="rId39" Type="http://schemas.openxmlformats.org/officeDocument/2006/relationships/hyperlink" Target="file:///C:\Users\User\Downloads\tx.dll%3fd=204095&amp;a=164" TargetMode="External"/><Relationship Id="rId21" Type="http://schemas.openxmlformats.org/officeDocument/2006/relationships/hyperlink" Target="file:///C:\Users\User\Downloads\tx.dll%3fd=270591&amp;a=1" TargetMode="External"/><Relationship Id="rId34" Type="http://schemas.openxmlformats.org/officeDocument/2006/relationships/hyperlink" Target="file:///C:\Users\User\Downloads\tx.dll%3fd=34033&amp;a=24" TargetMode="External"/><Relationship Id="rId42" Type="http://schemas.openxmlformats.org/officeDocument/2006/relationships/hyperlink" Target="file:///C:\Users\User\Downloads\tx.dll%3fd=325942&amp;a=1" TargetMode="External"/><Relationship Id="rId47" Type="http://schemas.openxmlformats.org/officeDocument/2006/relationships/hyperlink" Target="file:///C:\Users\User\Downloads\tx.dll%3fd=73723&amp;a=90" TargetMode="External"/><Relationship Id="rId50" Type="http://schemas.openxmlformats.org/officeDocument/2006/relationships/hyperlink" Target="file:///C:\Users\User\Downloads\tx.dll%3fd=73723&amp;a=90" TargetMode="External"/><Relationship Id="rId55" Type="http://schemas.openxmlformats.org/officeDocument/2006/relationships/hyperlink" Target="file:///C:\Users\User\Downloads\tx.dll%3fd=275169&amp;a=1" TargetMode="External"/><Relationship Id="rId63" Type="http://schemas.openxmlformats.org/officeDocument/2006/relationships/hyperlink" Target="file:///C:\Users\User\Downloads\tx.dll%3fd=386981&amp;a=86" TargetMode="External"/><Relationship Id="rId7" Type="http://schemas.openxmlformats.org/officeDocument/2006/relationships/hyperlink" Target="file:///C:\Users\User\Downloads\tx.dll%3fd=77244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76918&amp;a=10" TargetMode="External"/><Relationship Id="rId20" Type="http://schemas.openxmlformats.org/officeDocument/2006/relationships/hyperlink" Target="file:///C:\Users\User\Downloads\tx.dll%3fd=251793&amp;a=1" TargetMode="External"/><Relationship Id="rId29" Type="http://schemas.openxmlformats.org/officeDocument/2006/relationships/hyperlink" Target="file:///C:\Users\User\Downloads\tx.dll%3fd=432141&amp;a=2" TargetMode="External"/><Relationship Id="rId41" Type="http://schemas.openxmlformats.org/officeDocument/2006/relationships/hyperlink" Target="file:///C:\Users\User\Downloads\tx.dll%3fd=204095&amp;a=164" TargetMode="External"/><Relationship Id="rId54" Type="http://schemas.openxmlformats.org/officeDocument/2006/relationships/hyperlink" Target="file:///C:\Users\User\Downloads\tx.dll%3fd=258399&amp;a=8" TargetMode="External"/><Relationship Id="rId62" Type="http://schemas.openxmlformats.org/officeDocument/2006/relationships/hyperlink" Target="file:///C:\Users\User\Downloads\tx.dll%3fd=274299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74056&amp;a=1" TargetMode="External"/><Relationship Id="rId11" Type="http://schemas.openxmlformats.org/officeDocument/2006/relationships/hyperlink" Target="file:///C:\Users\User\Downloads\tx.dll%3fd=90394&amp;a=1" TargetMode="External"/><Relationship Id="rId24" Type="http://schemas.openxmlformats.org/officeDocument/2006/relationships/hyperlink" Target="file:///C:\Users\User\Downloads\tx.dll%3fd=353112&amp;a=1" TargetMode="External"/><Relationship Id="rId32" Type="http://schemas.openxmlformats.org/officeDocument/2006/relationships/hyperlink" Target="file:///C:\Users\User\Downloads\tx.dll%3fd=386981&amp;a=86" TargetMode="External"/><Relationship Id="rId37" Type="http://schemas.openxmlformats.org/officeDocument/2006/relationships/hyperlink" Target="file:///C:\Users\User\Downloads\tx.dll%3fd=204095&amp;a=164" TargetMode="External"/><Relationship Id="rId40" Type="http://schemas.openxmlformats.org/officeDocument/2006/relationships/hyperlink" Target="file:///C:\Users\User\Downloads\tx.dll%3fd=204095&amp;a=10" TargetMode="External"/><Relationship Id="rId45" Type="http://schemas.openxmlformats.org/officeDocument/2006/relationships/hyperlink" Target="file:///C:\Users\User\Downloads\tx.dll%3fd=325942&amp;a=1" TargetMode="External"/><Relationship Id="rId53" Type="http://schemas.openxmlformats.org/officeDocument/2006/relationships/hyperlink" Target="file:///C:\Users\User\Downloads\tx.dll%3fd=252597&amp;a=182" TargetMode="External"/><Relationship Id="rId58" Type="http://schemas.openxmlformats.org/officeDocument/2006/relationships/image" Target="media/image1.png"/><Relationship Id="rId5" Type="http://schemas.openxmlformats.org/officeDocument/2006/relationships/hyperlink" Target="file:///C:\Users\User\Downloads\tx.dll%3fd=73420&amp;a=1" TargetMode="External"/><Relationship Id="rId15" Type="http://schemas.openxmlformats.org/officeDocument/2006/relationships/hyperlink" Target="file:///C:\Users\User\Downloads\tx.dll%3fd=171649&amp;a=1" TargetMode="External"/><Relationship Id="rId23" Type="http://schemas.openxmlformats.org/officeDocument/2006/relationships/hyperlink" Target="file:///C:\Users\User\Downloads\tx.dll%3fd=324614&amp;a=5" TargetMode="External"/><Relationship Id="rId28" Type="http://schemas.openxmlformats.org/officeDocument/2006/relationships/hyperlink" Target="file:///C:\Users\User\Downloads\tx.dll%3fd=394711&amp;a=1" TargetMode="External"/><Relationship Id="rId36" Type="http://schemas.openxmlformats.org/officeDocument/2006/relationships/hyperlink" Target="file:///C:\Users\User\Downloads\tx.dll%3fd=204095&amp;a=10" TargetMode="External"/><Relationship Id="rId49" Type="http://schemas.openxmlformats.org/officeDocument/2006/relationships/hyperlink" Target="file:///C:\Users\User\Downloads\tx.dll%3fd=67588&amp;a=10" TargetMode="External"/><Relationship Id="rId57" Type="http://schemas.openxmlformats.org/officeDocument/2006/relationships/hyperlink" Target="file:///C:\Users\User\Downloads\tx.dll%3fd=186101&amp;a=3" TargetMode="External"/><Relationship Id="rId61" Type="http://schemas.openxmlformats.org/officeDocument/2006/relationships/hyperlink" Target="file:///C:\Users\User\Downloads\tx.dll%3fd=333816&amp;a=2" TargetMode="External"/><Relationship Id="rId10" Type="http://schemas.openxmlformats.org/officeDocument/2006/relationships/hyperlink" Target="file:///C:\Users\User\Downloads\tx.dll%3fd=87291&amp;a=1" TargetMode="External"/><Relationship Id="rId19" Type="http://schemas.openxmlformats.org/officeDocument/2006/relationships/hyperlink" Target="file:///C:\Users\User\Downloads\tx.dll%3fd=229994&amp;a=1" TargetMode="External"/><Relationship Id="rId31" Type="http://schemas.openxmlformats.org/officeDocument/2006/relationships/hyperlink" Target="file:///C:\Users\User\Downloads\tx.dll%3fd=179699&amp;a=2" TargetMode="External"/><Relationship Id="rId44" Type="http://schemas.openxmlformats.org/officeDocument/2006/relationships/hyperlink" Target="file:///C:\Users\User\Downloads\tx.dll%3fd=325942&amp;a=1" TargetMode="External"/><Relationship Id="rId52" Type="http://schemas.openxmlformats.org/officeDocument/2006/relationships/hyperlink" Target="file:///C:\Users\User\Downloads\tx.dll%3fd=137460&amp;a=6" TargetMode="External"/><Relationship Id="rId60" Type="http://schemas.openxmlformats.org/officeDocument/2006/relationships/hyperlink" Target="file:///C:\Users\User\Downloads\tx.dll%3fd=274207&amp;a=1" TargetMode="External"/><Relationship Id="rId65" Type="http://schemas.openxmlformats.org/officeDocument/2006/relationships/theme" Target="theme/theme1.xml"/><Relationship Id="rId4" Type="http://schemas.openxmlformats.org/officeDocument/2006/relationships/hyperlink" Target="file:///C:\Users\User\Downloads\tx.dll%3fd=68982&amp;a=1" TargetMode="External"/><Relationship Id="rId9" Type="http://schemas.openxmlformats.org/officeDocument/2006/relationships/hyperlink" Target="file:///C:\Users\User\Downloads\tx.dll%3fd=84807&amp;a=1" TargetMode="External"/><Relationship Id="rId14" Type="http://schemas.openxmlformats.org/officeDocument/2006/relationships/hyperlink" Target="file:///C:\Users\User\Downloads\tx.dll%3fd=159811&amp;a=1" TargetMode="External"/><Relationship Id="rId22" Type="http://schemas.openxmlformats.org/officeDocument/2006/relationships/hyperlink" Target="file:///C:\Users\User\Downloads\tx.dll%3fd=286932&amp;a=1" TargetMode="External"/><Relationship Id="rId27" Type="http://schemas.openxmlformats.org/officeDocument/2006/relationships/hyperlink" Target="file:///C:\Users\User\Downloads\tx.dll%3fd=77657&amp;a=1" TargetMode="External"/><Relationship Id="rId30" Type="http://schemas.openxmlformats.org/officeDocument/2006/relationships/hyperlink" Target="file:///C:\Users\User\Downloads\tx.dll%3fd=431576&amp;a=235" TargetMode="External"/><Relationship Id="rId35" Type="http://schemas.openxmlformats.org/officeDocument/2006/relationships/hyperlink" Target="file:///C:\Users\User\Downloads\tx.dll%3fd=204095&amp;a=473" TargetMode="External"/><Relationship Id="rId43" Type="http://schemas.openxmlformats.org/officeDocument/2006/relationships/hyperlink" Target="file:///C:\Users\User\Downloads\tx.dll%3fd=325942&amp;a=1" TargetMode="External"/><Relationship Id="rId48" Type="http://schemas.openxmlformats.org/officeDocument/2006/relationships/hyperlink" Target="file:///C:\Users\User\Downloads\tx.dll%3fd=152944&amp;a=1" TargetMode="External"/><Relationship Id="rId56" Type="http://schemas.openxmlformats.org/officeDocument/2006/relationships/hyperlink" Target="file:///C:\Users\User\Downloads\tx.dll%3fd=34056&amp;a=107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Users\User\Downloads\tx.dll%3fd=84480&amp;a=1" TargetMode="External"/><Relationship Id="rId51" Type="http://schemas.openxmlformats.org/officeDocument/2006/relationships/hyperlink" Target="file:///C:\Users\User\Downloads\tx.dll%3fd=102641&amp;a=7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100145&amp;a=1" TargetMode="External"/><Relationship Id="rId17" Type="http://schemas.openxmlformats.org/officeDocument/2006/relationships/hyperlink" Target="file:///C:\Users\User\Downloads\tx.dll%3fd=207120&amp;a=2" TargetMode="External"/><Relationship Id="rId25" Type="http://schemas.openxmlformats.org/officeDocument/2006/relationships/hyperlink" Target="file:///C:\Users\User\Downloads\tx.dll%3fd=386975&amp;a=1" TargetMode="External"/><Relationship Id="rId33" Type="http://schemas.openxmlformats.org/officeDocument/2006/relationships/hyperlink" Target="file:///C:\Users\User\Downloads\tx.dll%3fd=204095&amp;a=9" TargetMode="External"/><Relationship Id="rId38" Type="http://schemas.openxmlformats.org/officeDocument/2006/relationships/hyperlink" Target="file:///C:\Users\User\Downloads\tx.dll%3fd=204095&amp;a=9" TargetMode="External"/><Relationship Id="rId46" Type="http://schemas.openxmlformats.org/officeDocument/2006/relationships/hyperlink" Target="file:///C:\Users\User\Downloads\tx.dll%3fd=90405&amp;a=4" TargetMode="External"/><Relationship Id="rId59" Type="http://schemas.openxmlformats.org/officeDocument/2006/relationships/hyperlink" Target="file:///C:\Users\User\Downloads\tx.dll%3fd=357848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2022-05-24T14:51:00Z</dcterms:created>
  <dcterms:modified xsi:type="dcterms:W3CDTF">2022-05-24T14:51:00Z</dcterms:modified>
</cp:coreProperties>
</file>