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338A">
      <w:pPr>
        <w:pStyle w:val="newncpi0"/>
        <w:jc w:val="center"/>
        <w:divId w:val="112020439"/>
      </w:pPr>
      <w:bookmarkStart w:id="0" w:name="_GoBack"/>
      <w:bookmarkEnd w:id="0"/>
      <w:r>
        <w:t> </w:t>
      </w:r>
    </w:p>
    <w:p w:rsidR="00000000" w:rsidRDefault="0005338A">
      <w:pPr>
        <w:pStyle w:val="newncpi0"/>
        <w:jc w:val="center"/>
        <w:divId w:val="112020439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05338A">
      <w:pPr>
        <w:pStyle w:val="newncpi"/>
        <w:ind w:firstLine="0"/>
        <w:jc w:val="center"/>
        <w:divId w:val="112020439"/>
      </w:pPr>
      <w:r>
        <w:rPr>
          <w:rStyle w:val="datepr"/>
        </w:rPr>
        <w:t>28 декабря 2015 г.</w:t>
      </w:r>
      <w:r>
        <w:rPr>
          <w:rStyle w:val="number"/>
        </w:rPr>
        <w:t xml:space="preserve"> № 1096</w:t>
      </w:r>
    </w:p>
    <w:p w:rsidR="00000000" w:rsidRDefault="0005338A">
      <w:pPr>
        <w:pStyle w:val="titlencpi"/>
        <w:divId w:val="112020439"/>
      </w:pPr>
      <w:r>
        <w:rPr>
          <w:color w:val="000080"/>
        </w:rPr>
        <w:t>Об утверждении Государственной программы развития фармацевтической промышленности Республики Беларусь на 2016–2020 годы</w:t>
      </w:r>
    </w:p>
    <w:p w:rsidR="00000000" w:rsidRDefault="0005338A">
      <w:pPr>
        <w:pStyle w:val="changei"/>
        <w:divId w:val="112020439"/>
      </w:pPr>
      <w:r>
        <w:t>Изменения и дополнения:</w:t>
      </w:r>
    </w:p>
    <w:p w:rsidR="00000000" w:rsidRDefault="0005338A">
      <w:pPr>
        <w:pStyle w:val="changeadd"/>
        <w:divId w:val="112020439"/>
      </w:pPr>
      <w:hyperlink r:id="rId4" w:anchor="a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16 декабря 2016 г. № 1038 (Национальный правовой Интернет-портал Республики Беларусь, 23.12.2016, 5/43074);</w:t>
      </w:r>
    </w:p>
    <w:p w:rsidR="00000000" w:rsidRDefault="0005338A">
      <w:pPr>
        <w:pStyle w:val="changeadd"/>
        <w:divId w:val="112020439"/>
      </w:pPr>
      <w:hyperlink r:id="rId5" w:anchor="a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10 октября 2017 г. № 759 (Национальный правовой Интернет-портал Республики Беларусь, 13.10.2017, 5/44287);</w:t>
      </w:r>
    </w:p>
    <w:p w:rsidR="00000000" w:rsidRDefault="0005338A">
      <w:pPr>
        <w:pStyle w:val="changeadd"/>
        <w:divId w:val="112020439"/>
      </w:pPr>
      <w:hyperlink r:id="rId6" w:anchor="a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</w:t>
      </w:r>
      <w:r>
        <w:t>блики Беларусь от 11 декабря 2018 г. № 891 (Национальный правовой Интернет-портал Республики Беларусь, 13.12.2018, 5/45909);</w:t>
      </w:r>
    </w:p>
    <w:p w:rsidR="00000000" w:rsidRDefault="0005338A">
      <w:pPr>
        <w:pStyle w:val="changeadd"/>
        <w:divId w:val="112020439"/>
      </w:pPr>
      <w:hyperlink r:id="rId7" w:anchor="a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14 ноября 2019 г. № 769 (Н</w:t>
      </w:r>
      <w:r>
        <w:t>ациональный правовой Интернет-портал Республики Беларусь, 20.11.2019, 5/47337);</w:t>
      </w:r>
    </w:p>
    <w:p w:rsidR="00000000" w:rsidRDefault="0005338A">
      <w:pPr>
        <w:pStyle w:val="changeadd"/>
        <w:divId w:val="112020439"/>
      </w:pPr>
      <w:hyperlink r:id="rId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12 ноября 2020 г. № 640 (Национальный правовой Интернет-портал Республи</w:t>
      </w:r>
      <w:r>
        <w:t>ки Беларусь, 17.11.2020, 5/48505)</w:t>
      </w:r>
    </w:p>
    <w:p w:rsidR="00000000" w:rsidRDefault="0005338A">
      <w:pPr>
        <w:pStyle w:val="newncpi"/>
        <w:divId w:val="112020439"/>
      </w:pPr>
      <w:r>
        <w:t> </w:t>
      </w:r>
    </w:p>
    <w:p w:rsidR="00000000" w:rsidRDefault="0005338A">
      <w:pPr>
        <w:pStyle w:val="preamble"/>
        <w:divId w:val="112020439"/>
      </w:pPr>
      <w:r>
        <w:t>В целях обеспечения развития фармацевтической промышленности в Республике Беларусь Совет Министров Республики Беларусь ПОСТАНОВЛЯЕТ:</w:t>
      </w:r>
    </w:p>
    <w:p w:rsidR="00000000" w:rsidRDefault="0005338A">
      <w:pPr>
        <w:pStyle w:val="point"/>
        <w:divId w:val="112020439"/>
      </w:pPr>
      <w:r>
        <w:t xml:space="preserve">1. Утвердить прилагаемую Государственную </w:t>
      </w:r>
      <w:hyperlink w:anchor="a3" w:tooltip="+" w:history="1">
        <w:r>
          <w:rPr>
            <w:rStyle w:val="a3"/>
          </w:rPr>
          <w:t>программу</w:t>
        </w:r>
      </w:hyperlink>
      <w:r>
        <w:t xml:space="preserve"> разв</w:t>
      </w:r>
      <w:r>
        <w:t>ития фармацевтической промышленности Республики Беларусь на 2016–2020 годы* (далее – Государственная программа).</w:t>
      </w:r>
    </w:p>
    <w:p w:rsidR="00000000" w:rsidRDefault="0005338A">
      <w:pPr>
        <w:pStyle w:val="snoskiline"/>
        <w:divId w:val="112020439"/>
      </w:pPr>
      <w:r>
        <w:t>______________________________</w:t>
      </w:r>
    </w:p>
    <w:p w:rsidR="00000000" w:rsidRDefault="0005338A">
      <w:pPr>
        <w:pStyle w:val="snoski"/>
        <w:spacing w:after="240"/>
        <w:divId w:val="112020439"/>
      </w:pPr>
      <w:r>
        <w:t>* Не рассылается.</w:t>
      </w:r>
    </w:p>
    <w:p w:rsidR="00000000" w:rsidRDefault="0005338A">
      <w:pPr>
        <w:pStyle w:val="point"/>
        <w:divId w:val="112020439"/>
      </w:pPr>
      <w:r>
        <w:t>2. Определить:</w:t>
      </w:r>
    </w:p>
    <w:p w:rsidR="00000000" w:rsidRDefault="0005338A">
      <w:pPr>
        <w:pStyle w:val="newncpi"/>
        <w:divId w:val="112020439"/>
      </w:pPr>
      <w:r>
        <w:t xml:space="preserve">ответственным заказчиком Государственной </w:t>
      </w:r>
      <w:hyperlink w:anchor="a3" w:tooltip="+" w:history="1">
        <w:r>
          <w:rPr>
            <w:rStyle w:val="a3"/>
          </w:rPr>
          <w:t>програ</w:t>
        </w:r>
        <w:r>
          <w:rPr>
            <w:rStyle w:val="a3"/>
          </w:rPr>
          <w:t>ммы</w:t>
        </w:r>
      </w:hyperlink>
      <w:r>
        <w:t xml:space="preserve"> Министерство здравоохранения;</w:t>
      </w:r>
    </w:p>
    <w:p w:rsidR="00000000" w:rsidRDefault="0005338A">
      <w:pPr>
        <w:pStyle w:val="newncpi"/>
        <w:divId w:val="112020439"/>
      </w:pPr>
      <w:r>
        <w:t xml:space="preserve">заказчиками Государственной </w:t>
      </w:r>
      <w:hyperlink w:anchor="a3" w:tooltip="+" w:history="1">
        <w:r>
          <w:rPr>
            <w:rStyle w:val="a3"/>
          </w:rPr>
          <w:t>программы</w:t>
        </w:r>
      </w:hyperlink>
      <w:r>
        <w:t xml:space="preserve"> Министерство здравоохранения и Национальную академию наук Беларуси;</w:t>
      </w:r>
    </w:p>
    <w:p w:rsidR="00000000" w:rsidRDefault="0005338A">
      <w:pPr>
        <w:pStyle w:val="newncpi"/>
        <w:divId w:val="112020439"/>
      </w:pPr>
      <w:r>
        <w:t>головной организацией, осуществляющей научное сопровождение работ по реализации Госу</w:t>
      </w:r>
      <w:r>
        <w:t xml:space="preserve">дарственной </w:t>
      </w:r>
      <w:hyperlink w:anchor="a3" w:tooltip="+" w:history="1">
        <w:r>
          <w:rPr>
            <w:rStyle w:val="a3"/>
          </w:rPr>
          <w:t>программы</w:t>
        </w:r>
      </w:hyperlink>
      <w:r>
        <w:t>, республиканское унитарное предприятие «Научно-практический центр ЛОТИОС».</w:t>
      </w:r>
    </w:p>
    <w:p w:rsidR="00000000" w:rsidRDefault="0005338A">
      <w:pPr>
        <w:pStyle w:val="point"/>
        <w:divId w:val="112020439"/>
      </w:pPr>
      <w:r>
        <w:t xml:space="preserve">3. Заказчики Государственной </w:t>
      </w:r>
      <w:hyperlink w:anchor="a3" w:tooltip="+" w:history="1">
        <w:r>
          <w:rPr>
            <w:rStyle w:val="a3"/>
          </w:rPr>
          <w:t>программы</w:t>
        </w:r>
      </w:hyperlink>
      <w:r>
        <w:t xml:space="preserve"> в пределах своей компетенции:</w:t>
      </w:r>
    </w:p>
    <w:p w:rsidR="00000000" w:rsidRDefault="0005338A">
      <w:pPr>
        <w:pStyle w:val="newncpi"/>
        <w:divId w:val="112020439"/>
      </w:pPr>
      <w:r>
        <w:lastRenderedPageBreak/>
        <w:t xml:space="preserve">координируют деятельность </w:t>
      </w:r>
      <w:r>
        <w:t xml:space="preserve">исполнителей мероприятий Государственной </w:t>
      </w:r>
      <w:hyperlink w:anchor="a3" w:tooltip="+" w:history="1">
        <w:r>
          <w:rPr>
            <w:rStyle w:val="a3"/>
          </w:rPr>
          <w:t>программы</w:t>
        </w:r>
      </w:hyperlink>
      <w:r>
        <w:t>;</w:t>
      </w:r>
    </w:p>
    <w:p w:rsidR="00000000" w:rsidRDefault="0005338A">
      <w:pPr>
        <w:pStyle w:val="newncpi"/>
        <w:divId w:val="112020439"/>
      </w:pPr>
      <w:r>
        <w:t xml:space="preserve">осуществляют контроль за выполнением мероприятий Государственной </w:t>
      </w:r>
      <w:hyperlink w:anchor="a3" w:tooltip="+" w:history="1">
        <w:r>
          <w:rPr>
            <w:rStyle w:val="a3"/>
          </w:rPr>
          <w:t>программы</w:t>
        </w:r>
      </w:hyperlink>
      <w:r>
        <w:t>, целевым использованием средств, выделяемых на их реализацию;</w:t>
      </w:r>
    </w:p>
    <w:p w:rsidR="00000000" w:rsidRDefault="0005338A">
      <w:pPr>
        <w:pStyle w:val="newncpi"/>
        <w:divId w:val="112020439"/>
      </w:pPr>
      <w:r>
        <w:t>пре</w:t>
      </w:r>
      <w:r>
        <w:t xml:space="preserve">дставляют ответственному заказчику годовой (итоговый) отчет о ходе реализации Государственной </w:t>
      </w:r>
      <w:hyperlink w:anchor="a3" w:tooltip="+" w:history="1">
        <w:r>
          <w:rPr>
            <w:rStyle w:val="a3"/>
          </w:rPr>
          <w:t>программы</w:t>
        </w:r>
      </w:hyperlink>
      <w:r>
        <w:t xml:space="preserve"> в порядке, установленном законодательством.</w:t>
      </w:r>
    </w:p>
    <w:p w:rsidR="00000000" w:rsidRDefault="0005338A">
      <w:pPr>
        <w:pStyle w:val="point"/>
        <w:divId w:val="112020439"/>
      </w:pPr>
      <w:r>
        <w:t xml:space="preserve">4. Ответственный заказчик Государственной </w:t>
      </w:r>
      <w:hyperlink w:anchor="a3" w:tooltip="+" w:history="1">
        <w:r>
          <w:rPr>
            <w:rStyle w:val="a3"/>
          </w:rPr>
          <w:t>пр</w:t>
        </w:r>
        <w:r>
          <w:rPr>
            <w:rStyle w:val="a3"/>
          </w:rPr>
          <w:t>ограммы</w:t>
        </w:r>
      </w:hyperlink>
      <w:r>
        <w:t>:</w:t>
      </w:r>
    </w:p>
    <w:p w:rsidR="00000000" w:rsidRDefault="0005338A">
      <w:pPr>
        <w:pStyle w:val="newncpi"/>
        <w:divId w:val="112020439"/>
      </w:pPr>
      <w:r>
        <w:t xml:space="preserve">координирует деятельность заказчиков в ходе реализации Государственной </w:t>
      </w:r>
      <w:hyperlink w:anchor="a3" w:tooltip="+" w:history="1">
        <w:r>
          <w:rPr>
            <w:rStyle w:val="a3"/>
          </w:rPr>
          <w:t>программы</w:t>
        </w:r>
      </w:hyperlink>
      <w:r>
        <w:t>;</w:t>
      </w:r>
    </w:p>
    <w:p w:rsidR="00000000" w:rsidRDefault="0005338A">
      <w:pPr>
        <w:pStyle w:val="newncpi"/>
        <w:divId w:val="112020439"/>
      </w:pPr>
      <w:r>
        <w:t xml:space="preserve">представляет годовой (итоговый) отчет о ходе реализации и оценке эффективности хода выполнения и результатов реализации Государственной </w:t>
      </w:r>
      <w:hyperlink w:anchor="a3" w:tooltip="+" w:history="1">
        <w:r>
          <w:rPr>
            <w:rStyle w:val="a3"/>
          </w:rPr>
          <w:t>программы</w:t>
        </w:r>
      </w:hyperlink>
      <w:r>
        <w:t xml:space="preserve"> в порядке, установленном законодательством.</w:t>
      </w:r>
    </w:p>
    <w:p w:rsidR="00000000" w:rsidRDefault="0005338A">
      <w:pPr>
        <w:pStyle w:val="point"/>
        <w:divId w:val="112020439"/>
      </w:pPr>
      <w:r>
        <w:t xml:space="preserve">5. Установить, что финансирование </w:t>
      </w:r>
      <w:r>
        <w:t xml:space="preserve">Государственной </w:t>
      </w:r>
      <w:hyperlink w:anchor="a3" w:tooltip="+" w:history="1">
        <w:r>
          <w:rPr>
            <w:rStyle w:val="a3"/>
          </w:rPr>
          <w:t>программы</w:t>
        </w:r>
      </w:hyperlink>
      <w:r>
        <w:t xml:space="preserve"> осуществляется в пределах средств, предусмотренных на эти цели в республиканском бюджете, а также за счет собственных средств исполнителей мероприятий Государственной </w:t>
      </w:r>
      <w:hyperlink w:anchor="a3" w:tooltip="+" w:history="1">
        <w:r>
          <w:rPr>
            <w:rStyle w:val="a3"/>
          </w:rPr>
          <w:t>программы</w:t>
        </w:r>
      </w:hyperlink>
      <w:r>
        <w:t>.</w:t>
      </w:r>
    </w:p>
    <w:p w:rsidR="00000000" w:rsidRDefault="0005338A">
      <w:pPr>
        <w:pStyle w:val="point"/>
        <w:divId w:val="112020439"/>
      </w:pPr>
      <w:r>
        <w:t xml:space="preserve">6. Ответственному заказчику довести Государственную </w:t>
      </w:r>
      <w:hyperlink w:anchor="a3" w:tooltip="+" w:history="1">
        <w:r>
          <w:rPr>
            <w:rStyle w:val="a3"/>
          </w:rPr>
          <w:t>программу</w:t>
        </w:r>
      </w:hyperlink>
      <w:r>
        <w:t xml:space="preserve"> до заинтересованных.</w:t>
      </w:r>
    </w:p>
    <w:p w:rsidR="00000000" w:rsidRDefault="0005338A">
      <w:pPr>
        <w:pStyle w:val="point"/>
        <w:divId w:val="112020439"/>
      </w:pPr>
      <w:r>
        <w:t>7. Министерству финансов при разработке проектов республиканского бюджета на очередной финансовый год в установленном порядке пре</w:t>
      </w:r>
      <w:r>
        <w:t xml:space="preserve">дусматривать средства на финансирование мероприятий Государственной </w:t>
      </w:r>
      <w:hyperlink w:anchor="a3" w:tooltip="+" w:history="1">
        <w:r>
          <w:rPr>
            <w:rStyle w:val="a3"/>
          </w:rPr>
          <w:t>программы</w:t>
        </w:r>
      </w:hyperlink>
      <w:r>
        <w:t>.</w:t>
      </w:r>
    </w:p>
    <w:p w:rsidR="00000000" w:rsidRDefault="0005338A">
      <w:pPr>
        <w:pStyle w:val="point"/>
        <w:divId w:val="112020439"/>
      </w:pPr>
      <w:r>
        <w:t xml:space="preserve">8. Возложить персональную ответственность за своевременное и качественное выполнение мероприятий Государственной </w:t>
      </w:r>
      <w:hyperlink w:anchor="a3" w:tooltip="+" w:history="1">
        <w:r>
          <w:rPr>
            <w:rStyle w:val="a3"/>
          </w:rPr>
          <w:t>программы</w:t>
        </w:r>
      </w:hyperlink>
      <w:r>
        <w:t xml:space="preserve"> на Министра здравоохранения и Председателя Президиума Национальной академии наук Беларуси.</w:t>
      </w:r>
    </w:p>
    <w:p w:rsidR="00000000" w:rsidRDefault="0005338A">
      <w:pPr>
        <w:pStyle w:val="point"/>
        <w:divId w:val="112020439"/>
      </w:pPr>
      <w:r>
        <w:t>9. Настоящее постановление вступает в силу со дня его принятия.</w:t>
      </w:r>
    </w:p>
    <w:p w:rsidR="00000000" w:rsidRDefault="0005338A">
      <w:pPr>
        <w:pStyle w:val="newncpi"/>
        <w:divId w:val="11202043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7203"/>
      </w:tblGrid>
      <w:tr w:rsidR="00000000">
        <w:trPr>
          <w:divId w:val="112020439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5338A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5338A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000000" w:rsidRDefault="0005338A">
      <w:pPr>
        <w:pStyle w:val="newncpi"/>
        <w:divId w:val="11202043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9"/>
        <w:gridCol w:w="3603"/>
      </w:tblGrid>
      <w:tr w:rsidR="00000000">
        <w:trPr>
          <w:divId w:val="112020439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capu1"/>
            </w:pPr>
            <w:r>
              <w:t>УТВЕРЖДЕНО</w:t>
            </w:r>
          </w:p>
          <w:p w:rsidR="00000000" w:rsidRDefault="0005338A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000000" w:rsidRDefault="0005338A">
            <w:pPr>
              <w:pStyle w:val="cap1"/>
            </w:pPr>
            <w:r>
              <w:t>28.12.2015 № 1096</w:t>
            </w:r>
          </w:p>
        </w:tc>
      </w:tr>
    </w:tbl>
    <w:p w:rsidR="00000000" w:rsidRDefault="0005338A">
      <w:pPr>
        <w:pStyle w:val="newncpi"/>
        <w:divId w:val="112020439"/>
      </w:pPr>
      <w:r>
        <w:t> </w:t>
      </w:r>
    </w:p>
    <w:p w:rsidR="00000000" w:rsidRDefault="0005338A">
      <w:pPr>
        <w:pStyle w:val="titleu"/>
        <w:divId w:val="112020439"/>
      </w:pPr>
      <w:bookmarkStart w:id="2" w:name="a3"/>
      <w:bookmarkEnd w:id="2"/>
      <w:r>
        <w:t>ГОСУДАРСТВЕННАЯ ПРОГРАММА</w:t>
      </w:r>
      <w:r>
        <w:br/>
        <w:t>развития фармацевтической промышленности Республики Беларусь на 2016–2020 годы</w:t>
      </w:r>
    </w:p>
    <w:p w:rsidR="00000000" w:rsidRDefault="0005338A">
      <w:pPr>
        <w:pStyle w:val="chapter"/>
        <w:divId w:val="112020439"/>
      </w:pPr>
      <w:r>
        <w:lastRenderedPageBreak/>
        <w:t>ГЛАВА 1</w:t>
      </w:r>
      <w:r>
        <w:br/>
        <w:t>ОБЩИЕ ПОЛОЖЕНИЯ</w:t>
      </w:r>
    </w:p>
    <w:p w:rsidR="00000000" w:rsidRDefault="0005338A">
      <w:pPr>
        <w:pStyle w:val="newncpi"/>
        <w:divId w:val="112020439"/>
      </w:pPr>
      <w:r>
        <w:t>Государственная программа развития фармацевтичес</w:t>
      </w:r>
      <w:r>
        <w:t>кой промышленности Республики Беларусь на 2016–2020 годы (далее – Государственная программа) разработана во исполнение поручения Президента Республики Беларусь Лукашенко А.Г., данного 20 февраля 2015 г. на совещании по вопросу о состоянии и перспективах ра</w:t>
      </w:r>
      <w:r>
        <w:t>звития белорусской фармацевтической промышленности, проблемах и путях решения, и поручения Совета Министров Республики Беларусь от 2 марта 2015 г. № 38/204-109.</w:t>
      </w:r>
    </w:p>
    <w:p w:rsidR="00000000" w:rsidRDefault="0005338A">
      <w:pPr>
        <w:pStyle w:val="newncpi"/>
        <w:divId w:val="112020439"/>
      </w:pPr>
      <w:r>
        <w:t>Государственной программой определяется стратегия развития фармацевтической промышленности на 2</w:t>
      </w:r>
      <w:r>
        <w:t>016–2020 годы с учетом отечественного и международного опыта в этой области.</w:t>
      </w:r>
    </w:p>
    <w:p w:rsidR="00000000" w:rsidRDefault="0005338A">
      <w:pPr>
        <w:pStyle w:val="newncpi"/>
        <w:divId w:val="112020439"/>
      </w:pPr>
      <w:r>
        <w:t xml:space="preserve">Государственная программа соответствует приоритетным </w:t>
      </w:r>
      <w:hyperlink r:id="rId9" w:anchor="a2" w:tooltip="+" w:history="1">
        <w:r>
          <w:rPr>
            <w:rStyle w:val="a3"/>
          </w:rPr>
          <w:t>направлениям</w:t>
        </w:r>
      </w:hyperlink>
      <w:r>
        <w:t xml:space="preserve"> научно-технической деятельности в Республике Беларусь на 2016–</w:t>
      </w:r>
      <w:r>
        <w:t>2020 годы, утвержденным Указом Президента Республики Беларусь от 22 апреля 2015 г. № 166 «О приоритетных направлениях научно-технической деятельности в Республике Беларусь на 2016–2020 годы» (Национальный правовой Интернет-портал Республики Беларусь, 24.04</w:t>
      </w:r>
      <w:r>
        <w:t xml:space="preserve">.2015, 1/15761), приоритетным </w:t>
      </w:r>
      <w:hyperlink r:id="rId10" w:anchor="a1" w:tooltip="+" w:history="1">
        <w:r>
          <w:rPr>
            <w:rStyle w:val="a3"/>
          </w:rPr>
          <w:t>направлениям</w:t>
        </w:r>
      </w:hyperlink>
      <w:r>
        <w:t xml:space="preserve"> научных исследований Республики Беларусь на 2016–2020 годы, утвержденным постановлением Совета Министров Республики Беларусь от 12 марта 2015 г. № 190 «О приорите</w:t>
      </w:r>
      <w:r>
        <w:t>тных направлениях научных исследований Республики Беларусь на 2016–2020 годы» (Национальный правовой Интернет-портал Республики Беларусь, 14.03.2015, 5/40254), а также приоритету «Рост и диверсификация экспорта товаров и услуг, обеспечение сбалансированной</w:t>
      </w:r>
      <w:r>
        <w:t xml:space="preserve"> внешней торговли» («Экспорт»), определенному распоряжением Премьер-министра Республики Беларусь от 6 ноября 2015 г. № 375р «О формировании государственных программ на 2016–2020 годы».</w:t>
      </w:r>
    </w:p>
    <w:p w:rsidR="00000000" w:rsidRDefault="0005338A">
      <w:pPr>
        <w:pStyle w:val="newncpi"/>
        <w:divId w:val="112020439"/>
      </w:pPr>
      <w:r>
        <w:t>Государственная программа призвана содействовать обеспечению лекарственной безопасности страны, модернизации фармацевтического сектора экономики, созданию новых наукоемких и высокотехнологичных производств, росту экспорта товаров и услуг, финансирования пе</w:t>
      </w:r>
      <w:r>
        <w:t>редовых научно-технических разработок в целях минимизации зависимости от внешних рынков, поступательного совершенствования фармацевтической промышленности и создания условий для ее перехода с инвестиционной на инновационную модель развития.</w:t>
      </w:r>
    </w:p>
    <w:p w:rsidR="00000000" w:rsidRDefault="0005338A">
      <w:pPr>
        <w:pStyle w:val="chapter"/>
        <w:divId w:val="112020439"/>
      </w:pPr>
      <w:r>
        <w:t>ГЛАВА 2</w:t>
      </w:r>
      <w:r>
        <w:br/>
        <w:t>ТЕХНИКО</w:t>
      </w:r>
      <w:r>
        <w:t>-ЭКОНОМИЧЕСКОЕ ОБОСНОВАНИЕ ГОСУДАРСТВЕННОЙ ПРОГРАММЫ</w:t>
      </w:r>
    </w:p>
    <w:p w:rsidR="00000000" w:rsidRDefault="0005338A">
      <w:pPr>
        <w:pStyle w:val="newncpi"/>
        <w:divId w:val="112020439"/>
      </w:pPr>
      <w:r>
        <w:t>Анализ состояния фармацевтической промышленности свидетельствует о ее отставании от аналогичных отраслей экономически развитых стран по номенклатуре выпускаемой продукции. Доля импортных лекарственных ср</w:t>
      </w:r>
      <w:r>
        <w:t>едств в структуре потребления населения существенно уменьшилась к 2015 году, но по-прежнему достаточна высока.</w:t>
      </w:r>
    </w:p>
    <w:p w:rsidR="00000000" w:rsidRDefault="0005338A">
      <w:pPr>
        <w:pStyle w:val="newncpi"/>
        <w:divId w:val="112020439"/>
      </w:pPr>
      <w:r>
        <w:t>Фармацевтический рынок является стратегически важным сектором экономики, основой ее безопасности в области здравоохранения, лекарственного и меди</w:t>
      </w:r>
      <w:r>
        <w:t>ко-технического обеспечения.</w:t>
      </w:r>
    </w:p>
    <w:p w:rsidR="00000000" w:rsidRDefault="0005338A">
      <w:pPr>
        <w:pStyle w:val="newncpi"/>
        <w:divId w:val="112020439"/>
      </w:pPr>
      <w:r>
        <w:t>Выполнение поставленных Главой государства и Правительством Республики Беларусь комплексных задач по сохранению и улучшению здоровья граждан как важнейшей составляющей национальной безопасности требует исключения критической за</w:t>
      </w:r>
      <w:r>
        <w:t>висимости лекарственного обеспечения населения от внешней экономической конъюнктуры.</w:t>
      </w:r>
    </w:p>
    <w:p w:rsidR="00000000" w:rsidRDefault="0005338A">
      <w:pPr>
        <w:pStyle w:val="newncpi"/>
        <w:divId w:val="112020439"/>
      </w:pPr>
      <w:r>
        <w:lastRenderedPageBreak/>
        <w:t>Современная фармацевтическая промышленность – это высокотехнологичная и наукоемкая отрасль, имеющая технологические связи с химической промышленностью, сельским хозяйством</w:t>
      </w:r>
      <w:r>
        <w:t>, машиностроением, а также другими секторами экономики и генерирующая значимый мультипликативный эффект. Она занимает особое место в экономике нашей страны, что обусловливается социальной значимостью производимой продукции, наукоемкостью производства и выс</w:t>
      </w:r>
      <w:r>
        <w:t>окой степенью государственного регулирования.</w:t>
      </w:r>
    </w:p>
    <w:p w:rsidR="00000000" w:rsidRDefault="0005338A">
      <w:pPr>
        <w:pStyle w:val="newncpi"/>
        <w:divId w:val="112020439"/>
      </w:pPr>
      <w:r>
        <w:t xml:space="preserve">В настоящее время фармацевтическую отрасль Республики Беларусь представляют 29 организаций, из них 8 – государственных, 6 – с долей государства в уставных фондах и 15 – частной формы собственности. Департамент </w:t>
      </w:r>
      <w:r>
        <w:t>фармацевтической промышленности Министерства здравоохранения (далее – Департамент) контролирует деятельность 6 из 29 фармацевтических организаций.</w:t>
      </w:r>
    </w:p>
    <w:p w:rsidR="00000000" w:rsidRDefault="0005338A">
      <w:pPr>
        <w:pStyle w:val="newncpi"/>
        <w:divId w:val="112020439"/>
      </w:pPr>
      <w:r>
        <w:t>В течение последних лет фармацевтическая отрасль динамично развивается. Так, в 2014 году в республике произве</w:t>
      </w:r>
      <w:r>
        <w:t>дено фармацевтической продукции на сумму 4508,3 млрд. рублей, что в 6,6 раза больше, чем в 2010 году (в 1,9 раза в долларовом эквиваленте). На предприятиях отсутствуют сверхнормативные запасы готовой продукции.</w:t>
      </w:r>
    </w:p>
    <w:p w:rsidR="00000000" w:rsidRDefault="0005338A">
      <w:pPr>
        <w:pStyle w:val="newncpi"/>
        <w:divId w:val="112020439"/>
      </w:pPr>
      <w:r>
        <w:t>Доля отечественных лекарственных средств в ст</w:t>
      </w:r>
      <w:r>
        <w:t>оимостном выражении на внутреннем рынке выросла с 2010 года на 14,8 процента и по итогам 2014 года составила 37,6 процента, а на 1 декабря 2015 г. – свыше 50 процентов.</w:t>
      </w:r>
    </w:p>
    <w:p w:rsidR="00000000" w:rsidRDefault="0005338A">
      <w:pPr>
        <w:pStyle w:val="newncpi"/>
        <w:divId w:val="112020439"/>
      </w:pPr>
      <w:r>
        <w:t>Данный рост достигнут в условиях, когда более 70 процентов в объеме производства в нату</w:t>
      </w:r>
      <w:r>
        <w:t>ральном выражении занимают социально значимые недорогие лекарственные средства стоимостью до 20 тыс. рублей (1 доллар США в эквиваленте).</w:t>
      </w:r>
    </w:p>
    <w:p w:rsidR="00000000" w:rsidRDefault="0005338A">
      <w:pPr>
        <w:pStyle w:val="newncpi"/>
        <w:divId w:val="112020439"/>
      </w:pPr>
      <w:r>
        <w:t>За 2011–2014 годы освоено производство 446 лекарственных средств и 31 фармацевтической субстанции, в отрасль привлечен</w:t>
      </w:r>
      <w:r>
        <w:t>о более 40 млн. долларов США прямых иностранных инвестиций на чистой основе.</w:t>
      </w:r>
    </w:p>
    <w:p w:rsidR="00000000" w:rsidRDefault="0005338A">
      <w:pPr>
        <w:pStyle w:val="newncpi"/>
        <w:divId w:val="112020439"/>
      </w:pPr>
      <w:r>
        <w:t xml:space="preserve">Реализовано 12 инвестиционных проектов общей стоимостью около 100 млн. долларов США, в том числе в соответствии с </w:t>
      </w:r>
      <w:hyperlink r:id="rId11" w:anchor="a5" w:tooltip="+" w:history="1">
        <w:r>
          <w:rPr>
            <w:rStyle w:val="a3"/>
          </w:rPr>
          <w:t>Указом</w:t>
        </w:r>
      </w:hyperlink>
      <w:r>
        <w:t xml:space="preserve"> Президе</w:t>
      </w:r>
      <w:r>
        <w:t>нта Республики Беларусь от 16 апреля 2012 г. № 174 «О некоторых мерах по развитию фармацевтической промышленности» (Национальный реестр правовых актов Республики Беларусь, 2012 г., № 47, 1/13446) 9 инвестиционных проектов общей стоимостью около 90 млн. дол</w:t>
      </w:r>
      <w:r>
        <w:t>ларов США.</w:t>
      </w:r>
    </w:p>
    <w:p w:rsidR="00000000" w:rsidRDefault="0005338A">
      <w:pPr>
        <w:pStyle w:val="newncpi"/>
        <w:divId w:val="112020439"/>
      </w:pPr>
      <w:r>
        <w:t>В результате проведенной модернизации по итогам 2014 года по организациям Департамента добавленная стоимость в расчете на одного среднесписочного работника составила 258 млн. рублей, выручка от реализации продукции (товаров, работ, услуг) в расч</w:t>
      </w:r>
      <w:r>
        <w:t>ете на одного среднесписочного работника по организациям промышленности – 488,5 млн. рублей, номинальная начисленная среднемесячная заработная плата – 6,4 млн. рублей.</w:t>
      </w:r>
    </w:p>
    <w:p w:rsidR="00000000" w:rsidRDefault="0005338A">
      <w:pPr>
        <w:pStyle w:val="newncpi"/>
        <w:divId w:val="112020439"/>
      </w:pPr>
      <w:r>
        <w:t>В 2014 году направлено инвестиций в основной капитал в объеме 365,2 млрд. рублей, выполн</w:t>
      </w:r>
      <w:r>
        <w:t>ены строительно-монтажные работы на сумму 84,4 млрд. рублей, приобретено технологическое оборудование на сумму 257,6 млрд. рублей, удельный вес оборудования в объеме инвестиций превысил 70 процентов.</w:t>
      </w:r>
    </w:p>
    <w:p w:rsidR="00000000" w:rsidRDefault="0005338A">
      <w:pPr>
        <w:pStyle w:val="newncpi"/>
        <w:divId w:val="112020439"/>
      </w:pPr>
      <w:r>
        <w:t>В 2010–2014 годах с учетом необходимости приоритетного о</w:t>
      </w:r>
      <w:r>
        <w:t>беспечения потребностей внутреннего рынка, доведения в 2015 году доли отечественных лекарственных средств в стоимостном выражении не менее 50 процентов ежегодный объем экспорта сложился на уровне 100–110 млн. долларов США, из них более 93 процентов поставо</w:t>
      </w:r>
      <w:r>
        <w:t>к продукции на экспорт осуществлялось организациями Департамента.</w:t>
      </w:r>
    </w:p>
    <w:p w:rsidR="00000000" w:rsidRDefault="0005338A">
      <w:pPr>
        <w:pStyle w:val="newncpi"/>
        <w:divId w:val="112020439"/>
      </w:pPr>
      <w:r>
        <w:lastRenderedPageBreak/>
        <w:t>На 1 января 2015 г. товаропроводящая сеть (далее – ТПС) фармацевтических организаций представлена 220 субъектами в 30 странах, в том числе ТПС организаций Департамента – 199 субъектов в 27 с</w:t>
      </w:r>
      <w:r>
        <w:t>транах. За 2014 год количество субъектов ТПС увеличено на треть (привлечено 55 новых организаций).</w:t>
      </w:r>
    </w:p>
    <w:p w:rsidR="00000000" w:rsidRDefault="0005338A">
      <w:pPr>
        <w:pStyle w:val="newncpi"/>
        <w:divId w:val="112020439"/>
      </w:pPr>
      <w:r>
        <w:t>Налажены поставки фармацевтической продукции на новые рынки – Афганистан, Вьетнам, Монголия, Сирия. Выполняются мероприятия по трансферу технологий производс</w:t>
      </w:r>
      <w:r>
        <w:t>тва лекарственных средств с Кубой, Индией, Бангладеш.</w:t>
      </w:r>
    </w:p>
    <w:p w:rsidR="00000000" w:rsidRDefault="0005338A">
      <w:pPr>
        <w:pStyle w:val="newncpi"/>
        <w:divId w:val="112020439"/>
      </w:pPr>
      <w:r>
        <w:t xml:space="preserve">Принимаемые меры по реализации инвестиционных проектов в фармацевтической отрасли позволяют снижать объемы импорта. Так, темпы роста импорта в 2013 году составили 121 процент к 2012 году, в 2014 году – </w:t>
      </w:r>
      <w:r>
        <w:t>105,7 процента к 2013 году.</w:t>
      </w:r>
    </w:p>
    <w:p w:rsidR="00000000" w:rsidRDefault="0005338A">
      <w:pPr>
        <w:pStyle w:val="newncpi"/>
        <w:divId w:val="112020439"/>
      </w:pPr>
      <w:r>
        <w:t>В 2015 году планируется обеспечение объема производства лекарственных средств в сумме 5813,2 млрд. рублей (темп роста к 2014 году – 128,9 процента), в том числе организациями Департамента – на сумму 3740,2 млрд. рублей (темп рос</w:t>
      </w:r>
      <w:r>
        <w:t>та к 2014 году – 128,8 процента).</w:t>
      </w:r>
    </w:p>
    <w:p w:rsidR="00000000" w:rsidRDefault="0005338A">
      <w:pPr>
        <w:pStyle w:val="newncpi"/>
        <w:divId w:val="112020439"/>
      </w:pPr>
      <w:r>
        <w:t>Уровень рентабельности продаж в организациях фармацевтического сектора экономики в 2015 году достигнет 21–21,5 процента.</w:t>
      </w:r>
    </w:p>
    <w:p w:rsidR="00000000" w:rsidRDefault="0005338A">
      <w:pPr>
        <w:pStyle w:val="newncpi"/>
        <w:divId w:val="112020439"/>
      </w:pPr>
      <w:r>
        <w:t>На развитие фармацевтических организаций в 2015 году планируется направить инвестиций в основной капи</w:t>
      </w:r>
      <w:r>
        <w:t>тал 761,6 млрд. рублей, или 183 процента к уровню 2014 года.</w:t>
      </w:r>
    </w:p>
    <w:p w:rsidR="00000000" w:rsidRDefault="0005338A">
      <w:pPr>
        <w:pStyle w:val="newncpi"/>
        <w:divId w:val="112020439"/>
      </w:pPr>
      <w:r>
        <w:t xml:space="preserve">Кроме того, предполагается освоить 140 новых высокоэффективных лекарственных средств, в том числе включенных в </w:t>
      </w:r>
      <w:hyperlink r:id="rId12" w:anchor="a52" w:tooltip="+" w:history="1">
        <w:r>
          <w:rPr>
            <w:rStyle w:val="a3"/>
          </w:rPr>
          <w:t>перечень</w:t>
        </w:r>
      </w:hyperlink>
      <w:r>
        <w:t xml:space="preserve"> основных лекарственных</w:t>
      </w:r>
      <w:r>
        <w:t xml:space="preserve"> средств, установленный постановлением Министерства здравоохранения Республики Беларусь от 16 июля 2007 г. № 65 «Об установлении перечня основных лекарственных средств» (Национальный реестр правовых актов Республики Беларусь, 2007 г., № 175, 8/16847).</w:t>
      </w:r>
    </w:p>
    <w:p w:rsidR="00000000" w:rsidRDefault="0005338A">
      <w:pPr>
        <w:pStyle w:val="newncpi"/>
        <w:divId w:val="112020439"/>
      </w:pPr>
      <w:r>
        <w:t>С 20</w:t>
      </w:r>
      <w:r>
        <w:t>16 по 2020 год планируется начать производство современных лекарственных средств для оказания высокотехнологичной медицинской помощи, в том числе за счет трансфера технологий от крупных транснациональных корпораций.</w:t>
      </w:r>
    </w:p>
    <w:p w:rsidR="00000000" w:rsidRDefault="0005338A">
      <w:pPr>
        <w:pStyle w:val="newncpi"/>
        <w:divId w:val="112020439"/>
      </w:pPr>
      <w:r>
        <w:t>В 2015 году предусматривается реализация</w:t>
      </w:r>
      <w:r>
        <w:t xml:space="preserve"> таких инвестиционных проектов, как «Создание новых соответствующих международным стандартам GMP производственных мощностей для лекарственных средств, выпускаемых РУП «Белмедпрепараты», «Создание производства стерильной рассыпки антибиотиков в ОАО «Борисов</w:t>
      </w:r>
      <w:r>
        <w:t>ский завод медицинских препаратов», «Создание нового производственного корпуса по выпуску лекарственных средств в ТЖК и МЖК», модернизация производств фармацевтических организаций.</w:t>
      </w:r>
    </w:p>
    <w:p w:rsidR="00000000" w:rsidRDefault="0005338A">
      <w:pPr>
        <w:pStyle w:val="newncpi"/>
        <w:divId w:val="112020439"/>
      </w:pPr>
      <w:r>
        <w:t>В результате проведенной модернизации в 2015 году добавленная стоимость в р</w:t>
      </w:r>
      <w:r>
        <w:t>асчете на одного среднесписочного работника в организациях Департамента оценивается в объеме 352,8 млн. рублей (при установленном задании – 338,4 млн. рублей), выручка от реализации продукции (товаров, работ, услуг) в расчете на одного среднесписочного раб</w:t>
      </w:r>
      <w:r>
        <w:t>отника – 597,4 млн. рублей (при установленном задании – 586,8 млн. рублей), среднемесячная заработная плата – 7640,4 тыс. рублей.</w:t>
      </w:r>
    </w:p>
    <w:p w:rsidR="00000000" w:rsidRDefault="0005338A">
      <w:pPr>
        <w:pStyle w:val="newncpi"/>
        <w:divId w:val="112020439"/>
      </w:pPr>
      <w:r>
        <w:t>В целях освоения новых рынков сбыта в 2015 году запланирована регистрация лекарственных средств белорусского производства в та</w:t>
      </w:r>
      <w:r>
        <w:t>ких странах, как Таиланд, Малайзия, Лаос, Филиппины, Пакистан.</w:t>
      </w:r>
    </w:p>
    <w:p w:rsidR="00000000" w:rsidRDefault="0005338A">
      <w:pPr>
        <w:pStyle w:val="newncpi"/>
        <w:divId w:val="112020439"/>
      </w:pPr>
      <w:r>
        <w:lastRenderedPageBreak/>
        <w:t>В целях совершенствования ТПС белорусских фармацевтических организаций разработаны и реализуются планы мероприятий по развитию, оптимизации и повышению эффективности работы ТПС, что позволит об</w:t>
      </w:r>
      <w:r>
        <w:t>еспечить в 2015 году объем экспорта по отрасли на уровне 112 млн. долларов США, в том числе организациями Департамента – 105,8 млн. долларов США.</w:t>
      </w:r>
    </w:p>
    <w:p w:rsidR="00000000" w:rsidRDefault="0005338A">
      <w:pPr>
        <w:pStyle w:val="newncpi"/>
        <w:divId w:val="112020439"/>
      </w:pPr>
      <w:r>
        <w:t>В дальнейшем для стабильного развития отрасли необходимо решить ряд проблемных вопросов, связанных:</w:t>
      </w:r>
    </w:p>
    <w:p w:rsidR="00000000" w:rsidRDefault="0005338A">
      <w:pPr>
        <w:pStyle w:val="newncpi"/>
        <w:divId w:val="112020439"/>
      </w:pPr>
      <w:r>
        <w:t>с отставан</w:t>
      </w:r>
      <w:r>
        <w:t>ием фармацевтической промышленности в части технологического уровня производственных мощностей, для организации выпуска конкурентоспособной импортозамещающей продукции;</w:t>
      </w:r>
    </w:p>
    <w:p w:rsidR="00000000" w:rsidRDefault="0005338A">
      <w:pPr>
        <w:pStyle w:val="newncpi"/>
        <w:divId w:val="112020439"/>
      </w:pPr>
      <w:r>
        <w:t>с недостаточностью государственного стимулирования организаций фармацевтической промышленности в части разработки и производства инновационных лекарственных средств;</w:t>
      </w:r>
    </w:p>
    <w:p w:rsidR="00000000" w:rsidRDefault="0005338A">
      <w:pPr>
        <w:pStyle w:val="newncpi"/>
        <w:divId w:val="112020439"/>
      </w:pPr>
      <w:r>
        <w:t>с недостатком у организаций собственных средств для инвестиционного и инновационного разви</w:t>
      </w:r>
      <w:r>
        <w:t>тия, их высокой закредитованностью;</w:t>
      </w:r>
    </w:p>
    <w:p w:rsidR="00000000" w:rsidRDefault="0005338A">
      <w:pPr>
        <w:pStyle w:val="newncpi"/>
        <w:divId w:val="112020439"/>
      </w:pPr>
      <w:r>
        <w:t>с действием мер тарифного и нетарифного регулирования при осуществлении внешнеторговой деятельности в рамках Евразийского экономического союза (далее – ЕАЭС), вступлением России и Казахстана во Всемирную торговую организ</w:t>
      </w:r>
      <w:r>
        <w:t>ацию (далее – ВТО);</w:t>
      </w:r>
    </w:p>
    <w:p w:rsidR="00000000" w:rsidRDefault="0005338A">
      <w:pPr>
        <w:pStyle w:val="newncpi"/>
        <w:divId w:val="112020439"/>
      </w:pPr>
      <w:r>
        <w:t>с ужесточением требований к производству лекарственных средств;</w:t>
      </w:r>
    </w:p>
    <w:p w:rsidR="00000000" w:rsidRDefault="0005338A">
      <w:pPr>
        <w:pStyle w:val="newncpi"/>
        <w:divId w:val="112020439"/>
      </w:pPr>
      <w:r>
        <w:t>с существенной налоговой нагрузкой, валютным и административным регулированием.</w:t>
      </w:r>
    </w:p>
    <w:p w:rsidR="00000000" w:rsidRDefault="0005338A">
      <w:pPr>
        <w:pStyle w:val="newncpi"/>
        <w:divId w:val="112020439"/>
      </w:pPr>
      <w:r>
        <w:t>Для обеспечения конкурентоспособности фармацевтической отрасли и трансформации ее в высокопр</w:t>
      </w:r>
      <w:r>
        <w:t>ибыльный сектор экономики требуется проведение комплекса мероприятий по научному сопровождению действующих и созданию новых производств, расширению ассортимента и повышению экспортного потенциала производимой продукции, укреплению позиций на внутреннем рын</w:t>
      </w:r>
      <w:r>
        <w:t>ке страны. Реализация данного комплекса мероприятий предусматривается в рамках Государственной программы.</w:t>
      </w:r>
    </w:p>
    <w:p w:rsidR="00000000" w:rsidRDefault="0005338A">
      <w:pPr>
        <w:pStyle w:val="chapter"/>
        <w:divId w:val="112020439"/>
      </w:pPr>
      <w:r>
        <w:t>ГЛАВА 3</w:t>
      </w:r>
      <w:r>
        <w:br/>
        <w:t>ЦЕЛЬ, ЗАДАЧИ И ЦЕЛЕВЫЕ ПОКАЗАТЕЛИ ГОСУДАРСТВЕННОЙ ПРОГРАММЫ</w:t>
      </w:r>
    </w:p>
    <w:p w:rsidR="00000000" w:rsidRDefault="0005338A">
      <w:pPr>
        <w:pStyle w:val="newncpi"/>
        <w:divId w:val="112020439"/>
      </w:pPr>
      <w:r>
        <w:t xml:space="preserve">Целью Государственной программы является обеспечение развития импортозамещающих и </w:t>
      </w:r>
      <w:r>
        <w:t>экспортно-ориентированных производств готовых лекарственных средств и фармацевтических субстанций для полного удовлетворения потребностей организаций здравоохранения и населения в эффективных, безопасных и качественных отечественных лекарственных средствах</w:t>
      </w:r>
      <w:r>
        <w:t>.</w:t>
      </w:r>
    </w:p>
    <w:p w:rsidR="00000000" w:rsidRDefault="0005338A">
      <w:pPr>
        <w:pStyle w:val="newncpi"/>
        <w:divId w:val="112020439"/>
      </w:pPr>
      <w:r>
        <w:t>Для достижения поставленной цели до конца 2020 года предусматривается решение следующих задач:</w:t>
      </w:r>
    </w:p>
    <w:p w:rsidR="00000000" w:rsidRDefault="0005338A">
      <w:pPr>
        <w:pStyle w:val="newncpi"/>
        <w:divId w:val="112020439"/>
      </w:pPr>
      <w:r>
        <w:t>расширение номенклатуры производимых с учетом передового научного опыта и современных технологий готовых лекарственных средств и фармацевтических субстанций, а</w:t>
      </w:r>
      <w:r>
        <w:t xml:space="preserve"> также интенсификация развития фармацевтической промышленности путем ввода в эксплуатацию современных производств, модернизации и укрепления материально-технической базы существующих производств. Целевой показатель, отражающий решение данной задачи, – доля</w:t>
      </w:r>
      <w:r>
        <w:t xml:space="preserve"> отечественных лекарственных средств на внутреннем </w:t>
      </w:r>
      <w:r>
        <w:lastRenderedPageBreak/>
        <w:t xml:space="preserve">рынке в стоимостном выражении. Решение этой задачи планируется осуществить путем реализации мероприятий </w:t>
      </w:r>
      <w:hyperlink w:anchor="a17" w:tooltip="+" w:history="1">
        <w:r>
          <w:rPr>
            <w:rStyle w:val="a3"/>
          </w:rPr>
          <w:t>подпрограммы 1</w:t>
        </w:r>
      </w:hyperlink>
      <w:r>
        <w:t xml:space="preserve"> «Разработка и производство новых лекарственных средст</w:t>
      </w:r>
      <w:r>
        <w:t>в» Государственной программы;</w:t>
      </w:r>
    </w:p>
    <w:p w:rsidR="00000000" w:rsidRDefault="0005338A">
      <w:pPr>
        <w:pStyle w:val="newncpi"/>
        <w:divId w:val="112020439"/>
      </w:pPr>
      <w:r>
        <w:t>приведение нормативной правовой базы в области разработки, производства и контроля качества готовых лекарственных средств и фармацевтических субстанций, доклинических и клинических испытаний в соответствие с современными миров</w:t>
      </w:r>
      <w:r>
        <w:t>ыми требованиями, включая требования к фармацевтическому сектору экономики, принятые в Европейском союзе (далее – ЕС), а также предусмотренные соглашениями ЕАЭС. Целевой показатель, отражающий решение данной задачи, – количество разработанных нормативных п</w:t>
      </w:r>
      <w:r>
        <w:t xml:space="preserve">равовых актов, инструкций. Эту задачу предполагается решить посредством реализации мероприятий </w:t>
      </w:r>
      <w:hyperlink w:anchor="a18" w:tooltip="+" w:history="1">
        <w:r>
          <w:rPr>
            <w:rStyle w:val="a3"/>
          </w:rPr>
          <w:t>подпрограммы 2</w:t>
        </w:r>
      </w:hyperlink>
      <w:r>
        <w:t xml:space="preserve"> «Нормативная правовая база» Государственной программы;</w:t>
      </w:r>
    </w:p>
    <w:p w:rsidR="00000000" w:rsidRDefault="0005338A">
      <w:pPr>
        <w:pStyle w:val="newncpi"/>
        <w:divId w:val="112020439"/>
      </w:pPr>
      <w:r>
        <w:t>приведение системы комплексной подготовки кадров для фарма</w:t>
      </w:r>
      <w:r>
        <w:t xml:space="preserve">цевтической отрасли в соответствие с потребностями фармацевтического сектора экономики. Целевые показатели этой задачи – количество переоснащенных учебных лабораторий, специалистов фармацевтической отрасли, прошедших переобучение (повышение квалификации), </w:t>
      </w:r>
      <w:r>
        <w:t xml:space="preserve">а также специалистов, подготовленных для фармацевтической отрасли на первой и второй ступенях высшего образования. Решение данной задачи предусматривается путем реализации мероприятий </w:t>
      </w:r>
      <w:hyperlink w:anchor="a19" w:tooltip="+" w:history="1">
        <w:r>
          <w:rPr>
            <w:rStyle w:val="a3"/>
          </w:rPr>
          <w:t>подпрограммы 3</w:t>
        </w:r>
      </w:hyperlink>
      <w:r>
        <w:t xml:space="preserve"> «Подготовка кадров для ф</w:t>
      </w:r>
      <w:r>
        <w:t>армацевтической отрасли» Государственной программы.</w:t>
      </w:r>
    </w:p>
    <w:p w:rsidR="00000000" w:rsidRDefault="0005338A">
      <w:pPr>
        <w:pStyle w:val="newncpi"/>
        <w:divId w:val="112020439"/>
      </w:pPr>
      <w:r>
        <w:t>Выполнение мероприятий Государственной программы будет сопровождаться импортозамещением лекарственных средств на внутреннем рынке, ростом экспортных поставок.</w:t>
      </w:r>
    </w:p>
    <w:p w:rsidR="00000000" w:rsidRDefault="0005338A">
      <w:pPr>
        <w:pStyle w:val="newncpi"/>
        <w:divId w:val="112020439"/>
      </w:pPr>
      <w:r>
        <w:t>Сводными целевыми показателями Государственно</w:t>
      </w:r>
      <w:r>
        <w:t xml:space="preserve">й программы и целевыми показателями подпрограмм согласно </w:t>
      </w:r>
      <w:hyperlink w:anchor="a4" w:tooltip="+" w:history="1">
        <w:r>
          <w:rPr>
            <w:rStyle w:val="a3"/>
          </w:rPr>
          <w:t>приложению 1</w:t>
        </w:r>
      </w:hyperlink>
      <w:r>
        <w:t xml:space="preserve"> предусматривается достижение в 2020 году доли отечественных лекарственных средств на внутреннем рынке в стоимостном выражении не менее 55 процентов, а уде</w:t>
      </w:r>
      <w:r>
        <w:t>льного веса экспорта лекарственных средств в общем объеме их производства – не менее 40 процентов.</w:t>
      </w:r>
    </w:p>
    <w:p w:rsidR="00000000" w:rsidRDefault="0005338A">
      <w:pPr>
        <w:pStyle w:val="newncpi"/>
        <w:divId w:val="112020439"/>
      </w:pPr>
      <w:r>
        <w:t>Сведения о порядке сбора информации и методике расчета сводных целевых показателей Государственной программы и целевых показателей подпрограмм определены сог</w:t>
      </w:r>
      <w:r>
        <w:t xml:space="preserve">ласно </w:t>
      </w:r>
      <w:hyperlink w:anchor="a5" w:tooltip="+" w:history="1">
        <w:r>
          <w:rPr>
            <w:rStyle w:val="a3"/>
          </w:rPr>
          <w:t>приложению 2</w:t>
        </w:r>
      </w:hyperlink>
      <w:r>
        <w:t>.</w:t>
      </w:r>
    </w:p>
    <w:p w:rsidR="00000000" w:rsidRDefault="0005338A">
      <w:pPr>
        <w:pStyle w:val="chapter"/>
        <w:divId w:val="112020439"/>
      </w:pPr>
      <w:r>
        <w:t>ГЛАВА 4</w:t>
      </w:r>
      <w:r>
        <w:br/>
        <w:t>СТРУКТУРА И ЗАКАЗЧИКИ ГОСУДАРСТВЕННОЙ ПРОГРАММЫ</w:t>
      </w:r>
    </w:p>
    <w:p w:rsidR="00000000" w:rsidRDefault="0005338A">
      <w:pPr>
        <w:pStyle w:val="newncpi"/>
        <w:divId w:val="112020439"/>
      </w:pPr>
      <w:r>
        <w:t>Государственная программа включает следующие подпрограммы:</w:t>
      </w:r>
    </w:p>
    <w:p w:rsidR="00000000" w:rsidRDefault="0005338A">
      <w:pPr>
        <w:pStyle w:val="newncpi"/>
        <w:divId w:val="112020439"/>
      </w:pPr>
      <w:hyperlink w:anchor="a17" w:tooltip="+" w:history="1">
        <w:r>
          <w:rPr>
            <w:rStyle w:val="a3"/>
          </w:rPr>
          <w:t>подпрограмма 1</w:t>
        </w:r>
      </w:hyperlink>
      <w:r>
        <w:t xml:space="preserve"> «Разработка и производство новых лекарств</w:t>
      </w:r>
      <w:r>
        <w:t>енных средств», состоящая из двух разделов – раздел 1 «Разработка лекарственных средств и фармацевтических субстанций», который, в свою очередь, содержит два подраздела с мероприятиями, переходящими в Государственную программу из других государственных про</w:t>
      </w:r>
      <w:r>
        <w:t>грамм, и новыми мероприятиями, и раздел 2 «Организация производства отечественных фармацевтических субстанций и готовых лекарственных форм»;</w:t>
      </w:r>
    </w:p>
    <w:p w:rsidR="00000000" w:rsidRDefault="0005338A">
      <w:pPr>
        <w:pStyle w:val="newncpi"/>
        <w:divId w:val="112020439"/>
      </w:pPr>
      <w:hyperlink w:anchor="a18" w:tooltip="+" w:history="1">
        <w:r>
          <w:rPr>
            <w:rStyle w:val="a3"/>
          </w:rPr>
          <w:t>подпрограмма 2</w:t>
        </w:r>
      </w:hyperlink>
      <w:r>
        <w:t xml:space="preserve"> «Нормативная правовая база»;</w:t>
      </w:r>
    </w:p>
    <w:p w:rsidR="00000000" w:rsidRDefault="0005338A">
      <w:pPr>
        <w:pStyle w:val="newncpi"/>
        <w:divId w:val="112020439"/>
      </w:pPr>
      <w:hyperlink w:anchor="a19" w:tooltip="+" w:history="1">
        <w:r>
          <w:rPr>
            <w:rStyle w:val="a3"/>
          </w:rPr>
          <w:t>подпрограмма 3</w:t>
        </w:r>
      </w:hyperlink>
      <w:r>
        <w:t xml:space="preserve"> «Подготовка кадров для фармацевтической отрасли».</w:t>
      </w:r>
    </w:p>
    <w:p w:rsidR="00000000" w:rsidRDefault="0005338A">
      <w:pPr>
        <w:pStyle w:val="newncpi"/>
        <w:divId w:val="112020439"/>
      </w:pPr>
      <w:r>
        <w:lastRenderedPageBreak/>
        <w:t>Ответственным заказчиком Государственной программы является Министерство здравоохранения.</w:t>
      </w:r>
    </w:p>
    <w:p w:rsidR="00000000" w:rsidRDefault="0005338A">
      <w:pPr>
        <w:pStyle w:val="newncpi"/>
        <w:divId w:val="112020439"/>
      </w:pPr>
      <w:r>
        <w:t>Заказчики Государственной программы – Министерство здравоохранения (</w:t>
      </w:r>
      <w:hyperlink w:anchor="a17" w:tooltip="+" w:history="1">
        <w:r>
          <w:rPr>
            <w:rStyle w:val="a3"/>
          </w:rPr>
          <w:t>подпрограмма 1</w:t>
        </w:r>
      </w:hyperlink>
      <w:r>
        <w:t xml:space="preserve">, раздел 1, подраздел 1 и раздел 2, подпрограммы </w:t>
      </w:r>
      <w:hyperlink w:anchor="a18" w:tooltip="+" w:history="1">
        <w:r>
          <w:rPr>
            <w:rStyle w:val="a3"/>
          </w:rPr>
          <w:t>2</w:t>
        </w:r>
      </w:hyperlink>
      <w:r>
        <w:t xml:space="preserve"> и 3) и Национальная академия наук Беларуси (</w:t>
      </w:r>
      <w:hyperlink w:anchor="a17" w:tooltip="+" w:history="1">
        <w:r>
          <w:rPr>
            <w:rStyle w:val="a3"/>
          </w:rPr>
          <w:t>подпрограмма 1</w:t>
        </w:r>
      </w:hyperlink>
      <w:r>
        <w:t>, раздел 1, подраздел 2).</w:t>
      </w:r>
    </w:p>
    <w:p w:rsidR="00000000" w:rsidRDefault="0005338A">
      <w:pPr>
        <w:pStyle w:val="newncpi"/>
        <w:divId w:val="112020439"/>
      </w:pPr>
      <w:r>
        <w:t>Головной организацией – исполнителем Госу</w:t>
      </w:r>
      <w:r>
        <w:t>дарственной программы, обеспечивающим научное сопровождение, координацию и оценку эффективности работ, является республиканское унитарное предприятие «Научно-практический центр ЛОТИОС» (далее – государственное предприятие «НПЦ ЛОТИОС»).</w:t>
      </w:r>
    </w:p>
    <w:p w:rsidR="00000000" w:rsidRDefault="0005338A">
      <w:pPr>
        <w:pStyle w:val="newncpi"/>
        <w:divId w:val="112020439"/>
      </w:pPr>
      <w:r>
        <w:t>Сроки реализации Го</w:t>
      </w:r>
      <w:r>
        <w:t>сударственной программы: 2016–2020 годы.</w:t>
      </w:r>
    </w:p>
    <w:p w:rsidR="00000000" w:rsidRDefault="0005338A">
      <w:pPr>
        <w:pStyle w:val="chapter"/>
        <w:divId w:val="112020439"/>
      </w:pPr>
      <w:r>
        <w:t>ГЛАВА 5</w:t>
      </w:r>
      <w:r>
        <w:br/>
        <w:t>ФИНАНСОВОЕ ОБЕСПЕЧЕНИЕ ГОСУДАРСТВЕННОЙ ПРОГРАММЫ И ПОДПРОГРАММ. ОЦЕНКА ЭФФЕКТИВНОСТИ РЕАЛИЗАЦИИ ГОСУДАРСТВЕННОЙ ПРОГРАММЫ</w:t>
      </w:r>
    </w:p>
    <w:p w:rsidR="00000000" w:rsidRDefault="0005338A">
      <w:pPr>
        <w:pStyle w:val="newncpi"/>
        <w:divId w:val="112020439"/>
      </w:pPr>
      <w:r>
        <w:t xml:space="preserve">Финансовое обеспечение Государственной программы согласно </w:t>
      </w:r>
      <w:hyperlink w:anchor="a6" w:tooltip="+" w:history="1">
        <w:r>
          <w:rPr>
            <w:rStyle w:val="a3"/>
          </w:rPr>
          <w:t>приложению 3</w:t>
        </w:r>
      </w:hyperlink>
      <w:r>
        <w:t xml:space="preserve"> будет осуществляться за счет средств республиканского бюджета, республиканского централизованного инновационного фонда, а также собственных средств исполнителя (исполнителей).</w:t>
      </w:r>
    </w:p>
    <w:p w:rsidR="00000000" w:rsidRDefault="0005338A">
      <w:pPr>
        <w:pStyle w:val="newncpi"/>
        <w:divId w:val="112020439"/>
      </w:pPr>
      <w:r>
        <w:t>Расходы на реализацию Государственной программы составят 19 58</w:t>
      </w:r>
      <w:r>
        <w:t>7 044,7 рубля, в том числе 6 147 594,22 рубля – средства республиканского бюджета, 364 842,98 рубля – средства республиканского централизованного инновационного фонда, 13 074 607,5 рубля – собственные средства исполнителя (исполнителей).</w:t>
      </w:r>
    </w:p>
    <w:p w:rsidR="00000000" w:rsidRDefault="0005338A">
      <w:pPr>
        <w:pStyle w:val="newncpi"/>
        <w:divId w:val="112020439"/>
      </w:pPr>
      <w:r>
        <w:t>Финансирование мер</w:t>
      </w:r>
      <w:r>
        <w:t>оприятий за счет средств республиканского бюджета, предусматриваемых в установленном порядке на научную, научно-техническую и инновационную деятельность, планируется осуществлять с ежегодным уточнением объемов финансирования при формировании проектов респу</w:t>
      </w:r>
      <w:r>
        <w:t>бликанских бюджетов на очередной финансовый год.</w:t>
      </w:r>
    </w:p>
    <w:p w:rsidR="00000000" w:rsidRDefault="0005338A">
      <w:pPr>
        <w:pStyle w:val="newncpi"/>
        <w:divId w:val="112020439"/>
      </w:pPr>
      <w:r>
        <w:t xml:space="preserve">Источники финансирования комплекса мероприятий подпрограмм Государственной программы определены согласно </w:t>
      </w:r>
      <w:hyperlink w:anchor="a7" w:tooltip="+" w:history="1">
        <w:r>
          <w:rPr>
            <w:rStyle w:val="a3"/>
          </w:rPr>
          <w:t>приложению 4</w:t>
        </w:r>
      </w:hyperlink>
      <w:r>
        <w:t>.</w:t>
      </w:r>
    </w:p>
    <w:p w:rsidR="00000000" w:rsidRDefault="0005338A">
      <w:pPr>
        <w:pStyle w:val="newncpi"/>
        <w:divId w:val="112020439"/>
      </w:pPr>
      <w:r>
        <w:t>Оценка эффективности реализации Государственной программы проводится в целях оценки ее вклада в развитие фармацевтической промышленности, подготовки оперативной информации о ходе и промежуточных результатах реализации мероприятий. Результаты оценки эффекти</w:t>
      </w:r>
      <w:r>
        <w:t>вности используются для корректировки реализации мероприятий Государственной программы.</w:t>
      </w:r>
    </w:p>
    <w:p w:rsidR="00000000" w:rsidRDefault="0005338A">
      <w:pPr>
        <w:pStyle w:val="newncpi"/>
        <w:divId w:val="112020439"/>
      </w:pPr>
      <w:r>
        <w:t>Оценка эффективности реализации Государственной программы осуществляется в три этапа.</w:t>
      </w:r>
    </w:p>
    <w:p w:rsidR="00000000" w:rsidRDefault="0005338A">
      <w:pPr>
        <w:pStyle w:val="newncpi"/>
        <w:divId w:val="112020439"/>
      </w:pPr>
      <w:r>
        <w:t xml:space="preserve">На первом этапе оценивается степень достижения цели (сводных целевых показателей) </w:t>
      </w:r>
      <w:r>
        <w:t>и решения задач (целевых показателей) Государственной программы (подпрограммы), которая определяется путем сопоставления фактически достигнутых значений сводных целевых (целевых) показателей Государственной программы (подпрограммы) и их плановых значений и</w:t>
      </w:r>
      <w:r>
        <w:t xml:space="preserve"> рассчитывается по формуле</w:t>
      </w:r>
    </w:p>
    <w:p w:rsidR="00000000" w:rsidRDefault="0005338A">
      <w:pPr>
        <w:pStyle w:val="newncpi"/>
        <w:divId w:val="112020439"/>
      </w:pPr>
      <w:r>
        <w:t> </w:t>
      </w:r>
    </w:p>
    <w:p w:rsidR="00000000" w:rsidRDefault="0005338A">
      <w:pPr>
        <w:pStyle w:val="newncpi0"/>
        <w:jc w:val="center"/>
        <w:divId w:val="112020439"/>
      </w:pPr>
      <w:r>
        <w:lastRenderedPageBreak/>
        <w:t>С</w:t>
      </w:r>
      <w:r>
        <w:rPr>
          <w:vertAlign w:val="subscript"/>
        </w:rPr>
        <w:t>д</w:t>
      </w:r>
      <w:r>
        <w:t xml:space="preserve"> = З</w:t>
      </w:r>
      <w:r>
        <w:rPr>
          <w:vertAlign w:val="subscript"/>
        </w:rPr>
        <w:t>ф</w:t>
      </w:r>
      <w:r>
        <w:t xml:space="preserve"> / З</w:t>
      </w:r>
      <w:r>
        <w:rPr>
          <w:vertAlign w:val="subscript"/>
        </w:rPr>
        <w:t>п</w:t>
      </w:r>
      <w:r>
        <w:t>,</w:t>
      </w:r>
    </w:p>
    <w:p w:rsidR="00000000" w:rsidRDefault="0005338A">
      <w:pPr>
        <w:pStyle w:val="newncpi"/>
        <w:divId w:val="112020439"/>
      </w:pPr>
      <w:r>
        <w:t> </w:t>
      </w:r>
    </w:p>
    <w:p w:rsidR="00000000" w:rsidRDefault="0005338A">
      <w:pPr>
        <w:pStyle w:val="newncpi0"/>
        <w:divId w:val="112020439"/>
      </w:pPr>
      <w:r>
        <w:t>где   С</w:t>
      </w:r>
      <w:r>
        <w:rPr>
          <w:vertAlign w:val="subscript"/>
        </w:rPr>
        <w:t>д</w:t>
      </w:r>
      <w:r>
        <w:t> – степень достижения сводного целевого (целевого) показателя;</w:t>
      </w:r>
    </w:p>
    <w:p w:rsidR="00000000" w:rsidRDefault="0005338A">
      <w:pPr>
        <w:pStyle w:val="newncpi"/>
        <w:divId w:val="112020439"/>
      </w:pPr>
      <w:r>
        <w:t>З</w:t>
      </w:r>
      <w:r>
        <w:rPr>
          <w:vertAlign w:val="subscript"/>
        </w:rPr>
        <w:t>ф</w:t>
      </w:r>
      <w:r>
        <w:t> – фактическое значение сводного целевого (целевого) показателя Государственной программы (подпрограммы);</w:t>
      </w:r>
    </w:p>
    <w:p w:rsidR="00000000" w:rsidRDefault="0005338A">
      <w:pPr>
        <w:pStyle w:val="newncpi"/>
        <w:divId w:val="112020439"/>
      </w:pPr>
      <w:r>
        <w:t>З</w:t>
      </w:r>
      <w:r>
        <w:rPr>
          <w:vertAlign w:val="subscript"/>
        </w:rPr>
        <w:t>п</w:t>
      </w:r>
      <w:r>
        <w:t xml:space="preserve"> – плановое значение сводного </w:t>
      </w:r>
      <w:r>
        <w:t>целевого (целевого) показателя Государственной программы (подпрограммы) на соответствующий отчетный период.</w:t>
      </w:r>
    </w:p>
    <w:p w:rsidR="00000000" w:rsidRDefault="0005338A">
      <w:pPr>
        <w:pStyle w:val="newncpi"/>
        <w:divId w:val="112020439"/>
      </w:pPr>
      <w:r>
        <w:t>На втором этапе оценивается степень достижения полноты реализации Государственной программы (подпрограммы) в целом, которая определяется как отношен</w:t>
      </w:r>
      <w:r>
        <w:t>ие суммы значений степеней достижения сводных целевых (целевых) показателей Государственной программы (подпрограммы) к их количеству и рассчитывается по формуле</w:t>
      </w:r>
    </w:p>
    <w:p w:rsidR="00000000" w:rsidRDefault="0005338A">
      <w:pPr>
        <w:pStyle w:val="newncpi"/>
        <w:divId w:val="112020439"/>
      </w:pPr>
      <w:r>
        <w:t> </w:t>
      </w:r>
    </w:p>
    <w:p w:rsidR="00000000" w:rsidRDefault="0005338A">
      <w:pPr>
        <w:pStyle w:val="newncpi0"/>
        <w:jc w:val="center"/>
        <w:divId w:val="112020439"/>
      </w:pPr>
      <w:r>
        <w:rPr>
          <w:noProof/>
        </w:rPr>
        <w:drawing>
          <wp:inline distT="0" distB="0" distL="0" distR="0">
            <wp:extent cx="1190625" cy="428625"/>
            <wp:effectExtent l="0" t="0" r="9525" b="9525"/>
            <wp:docPr id="1" name="Рисунок 1" descr="C:\fake\imag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5338A">
      <w:pPr>
        <w:pStyle w:val="newncpi"/>
        <w:divId w:val="112020439"/>
      </w:pPr>
      <w:r>
        <w:t> </w:t>
      </w:r>
    </w:p>
    <w:p w:rsidR="00000000" w:rsidRDefault="0005338A">
      <w:pPr>
        <w:pStyle w:val="newncpi0"/>
        <w:divId w:val="112020439"/>
      </w:pPr>
      <w:r>
        <w:t>где С</w:t>
      </w:r>
      <w:r>
        <w:rPr>
          <w:vertAlign w:val="subscript"/>
        </w:rPr>
        <w:t>пвгп</w:t>
      </w:r>
      <w:r>
        <w:t> – степень достижения полноты реализации Государственной программы (подпрограммы);</w:t>
      </w:r>
    </w:p>
    <w:p w:rsidR="00000000" w:rsidRDefault="0005338A">
      <w:pPr>
        <w:pStyle w:val="newncpi"/>
        <w:divId w:val="112020439"/>
      </w:pPr>
      <w:r>
        <w:rPr>
          <w:noProof/>
        </w:rPr>
        <w:drawing>
          <wp:inline distT="0" distB="0" distL="0" distR="0">
            <wp:extent cx="276225" cy="219075"/>
            <wp:effectExtent l="0" t="0" r="9525" b="9525"/>
            <wp:docPr id="2" name="Рисунок 2" descr="C:\fake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ake\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– степень достижения конкретного сводного целевого (целевого) показателя;</w:t>
      </w:r>
    </w:p>
    <w:p w:rsidR="00000000" w:rsidRDefault="0005338A">
      <w:pPr>
        <w:pStyle w:val="newncpi"/>
        <w:divId w:val="112020439"/>
      </w:pPr>
      <w:r>
        <w:t>N – количество сводных целевых (целевых) показателей Государственной программы (подпрограммы).</w:t>
      </w:r>
    </w:p>
    <w:p w:rsidR="00000000" w:rsidRDefault="0005338A">
      <w:pPr>
        <w:pStyle w:val="newncpi"/>
        <w:divId w:val="112020439"/>
      </w:pPr>
      <w:r>
        <w:t>На третьем этапе определяется эффективность реализации Государственной программы (подпрограммы) как отношение степени достижения цели и решения задач Государственной программы (подпрограммы) к степени соответствия фактически освоенного объема финансировани</w:t>
      </w:r>
      <w:r>
        <w:t>я Государственной программы (подпрограммы) запланированному объему финансирования в отчетном периоде. Такая эффективность рассчитывается по формуле</w:t>
      </w:r>
    </w:p>
    <w:p w:rsidR="00000000" w:rsidRDefault="0005338A">
      <w:pPr>
        <w:pStyle w:val="newncpi"/>
        <w:divId w:val="112020439"/>
      </w:pPr>
      <w:r>
        <w:t> </w:t>
      </w:r>
    </w:p>
    <w:p w:rsidR="00000000" w:rsidRDefault="0005338A">
      <w:pPr>
        <w:pStyle w:val="newncpi0"/>
        <w:jc w:val="center"/>
        <w:divId w:val="112020439"/>
      </w:pPr>
      <w:r>
        <w:t>Э</w:t>
      </w:r>
      <w:r>
        <w:rPr>
          <w:vertAlign w:val="subscript"/>
        </w:rPr>
        <w:t>ГП</w:t>
      </w:r>
      <w:r>
        <w:t xml:space="preserve"> = С</w:t>
      </w:r>
      <w:r>
        <w:rPr>
          <w:vertAlign w:val="subscript"/>
        </w:rPr>
        <w:t>пвгп</w:t>
      </w:r>
      <w:r>
        <w:t xml:space="preserve"> / С</w:t>
      </w:r>
      <w:r>
        <w:rPr>
          <w:vertAlign w:val="subscript"/>
        </w:rPr>
        <w:t>ф</w:t>
      </w:r>
      <w:r>
        <w:t xml:space="preserve"> x 100 %,</w:t>
      </w:r>
    </w:p>
    <w:p w:rsidR="00000000" w:rsidRDefault="0005338A">
      <w:pPr>
        <w:pStyle w:val="newncpi"/>
        <w:divId w:val="112020439"/>
      </w:pPr>
      <w:r>
        <w:t> </w:t>
      </w:r>
    </w:p>
    <w:p w:rsidR="00000000" w:rsidRDefault="0005338A">
      <w:pPr>
        <w:pStyle w:val="newncpi0"/>
        <w:divId w:val="112020439"/>
      </w:pPr>
      <w:r>
        <w:t>где Э</w:t>
      </w:r>
      <w:r>
        <w:rPr>
          <w:vertAlign w:val="subscript"/>
        </w:rPr>
        <w:t>ГП</w:t>
      </w:r>
      <w:r>
        <w:t> – эффективность реализации Государственной программы (подпрограммы), п</w:t>
      </w:r>
      <w:r>
        <w:t>роцентов;</w:t>
      </w:r>
    </w:p>
    <w:p w:rsidR="00000000" w:rsidRDefault="0005338A">
      <w:pPr>
        <w:pStyle w:val="newncpi"/>
        <w:divId w:val="112020439"/>
      </w:pPr>
      <w:r>
        <w:t>С</w:t>
      </w:r>
      <w:r>
        <w:rPr>
          <w:vertAlign w:val="subscript"/>
        </w:rPr>
        <w:t>пвгп</w:t>
      </w:r>
      <w:r>
        <w:t> – степень достижения полноты реализации Государственной программы (подпрограммы);</w:t>
      </w:r>
    </w:p>
    <w:p w:rsidR="00000000" w:rsidRDefault="0005338A">
      <w:pPr>
        <w:pStyle w:val="newncpi"/>
        <w:divId w:val="112020439"/>
      </w:pPr>
      <w:r>
        <w:t>С</w:t>
      </w:r>
      <w:r>
        <w:rPr>
          <w:vertAlign w:val="subscript"/>
        </w:rPr>
        <w:t>ф</w:t>
      </w:r>
      <w:r>
        <w:t> – степень соответствия фактически освоенного объема финансирования Государственной программы (подпрограммы) запланированному объему финансирования в отчетн</w:t>
      </w:r>
      <w:r>
        <w:t>ом периоде.</w:t>
      </w:r>
    </w:p>
    <w:p w:rsidR="00000000" w:rsidRDefault="0005338A">
      <w:pPr>
        <w:pStyle w:val="newncpi"/>
        <w:divId w:val="112020439"/>
      </w:pPr>
      <w:r>
        <w:lastRenderedPageBreak/>
        <w:t>Степень соответствия фактически освоенного объема финансирования Государственной программы (подпрограммы) запланированному объему финансирования в отчетном периоде рассчитывается по формуле</w:t>
      </w:r>
    </w:p>
    <w:p w:rsidR="00000000" w:rsidRDefault="0005338A">
      <w:pPr>
        <w:pStyle w:val="newncpi"/>
        <w:divId w:val="112020439"/>
      </w:pPr>
      <w:r>
        <w:t> </w:t>
      </w:r>
    </w:p>
    <w:p w:rsidR="00000000" w:rsidRDefault="0005338A">
      <w:pPr>
        <w:pStyle w:val="newncpi0"/>
        <w:jc w:val="center"/>
        <w:divId w:val="112020439"/>
      </w:pPr>
      <w:r>
        <w:t>С</w:t>
      </w:r>
      <w:r>
        <w:rPr>
          <w:vertAlign w:val="subscript"/>
        </w:rPr>
        <w:t>ф</w:t>
      </w:r>
      <w:r>
        <w:t xml:space="preserve"> = V</w:t>
      </w:r>
      <w:r>
        <w:rPr>
          <w:vertAlign w:val="subscript"/>
        </w:rPr>
        <w:t>фосв</w:t>
      </w:r>
      <w:r>
        <w:t xml:space="preserve"> / V</w:t>
      </w:r>
      <w:r>
        <w:rPr>
          <w:vertAlign w:val="subscript"/>
        </w:rPr>
        <w:t>фплан</w:t>
      </w:r>
      <w:r>
        <w:t>,</w:t>
      </w:r>
    </w:p>
    <w:p w:rsidR="00000000" w:rsidRDefault="0005338A">
      <w:pPr>
        <w:pStyle w:val="newncpi"/>
        <w:divId w:val="112020439"/>
      </w:pPr>
      <w:r>
        <w:t> </w:t>
      </w:r>
    </w:p>
    <w:p w:rsidR="00000000" w:rsidRDefault="0005338A">
      <w:pPr>
        <w:pStyle w:val="newncpi0"/>
        <w:divId w:val="112020439"/>
      </w:pPr>
      <w:r>
        <w:t>где С</w:t>
      </w:r>
      <w:r>
        <w:rPr>
          <w:vertAlign w:val="subscript"/>
        </w:rPr>
        <w:t>ф</w:t>
      </w:r>
      <w:r>
        <w:t> – степень соответствия</w:t>
      </w:r>
      <w:r>
        <w:t xml:space="preserve"> фактически освоенного объема финансирования Государственной программы (подпрограммы) запланированному объему финансирования в отчетном периоде;</w:t>
      </w:r>
    </w:p>
    <w:p w:rsidR="00000000" w:rsidRDefault="0005338A">
      <w:pPr>
        <w:pStyle w:val="newncpi"/>
        <w:divId w:val="112020439"/>
      </w:pPr>
      <w:r>
        <w:t>V</w:t>
      </w:r>
      <w:r>
        <w:rPr>
          <w:vertAlign w:val="subscript"/>
        </w:rPr>
        <w:t>фосв</w:t>
      </w:r>
      <w:r>
        <w:t> – объем фактически освоенного финансирования Государственной программы (подпрограммы) в отчетном периоде;</w:t>
      </w:r>
    </w:p>
    <w:p w:rsidR="00000000" w:rsidRDefault="0005338A">
      <w:pPr>
        <w:pStyle w:val="newncpi"/>
        <w:divId w:val="112020439"/>
      </w:pPr>
      <w:r>
        <w:t>V</w:t>
      </w:r>
      <w:r>
        <w:rPr>
          <w:vertAlign w:val="subscript"/>
        </w:rPr>
        <w:t>фплан</w:t>
      </w:r>
      <w:r>
        <w:t> – запланированный объем финансирования Государственной программы (подпрограммы) в отчетном периоде.</w:t>
      </w:r>
    </w:p>
    <w:p w:rsidR="00000000" w:rsidRDefault="0005338A">
      <w:pPr>
        <w:pStyle w:val="newncpi"/>
        <w:divId w:val="112020439"/>
      </w:pPr>
      <w:r>
        <w:t>Основными источниками получения сведений для выполняемых расчетов являются статистическая, бухгалтерская, финансовая, внутриведомственная отчетность</w:t>
      </w:r>
      <w:r>
        <w:t>, а также административная информация.</w:t>
      </w:r>
    </w:p>
    <w:p w:rsidR="00000000" w:rsidRDefault="0005338A">
      <w:pPr>
        <w:pStyle w:val="newncpi"/>
        <w:divId w:val="112020439"/>
      </w:pPr>
      <w:r>
        <w:t>Оценка эффективности реализации Государственной программы нарастающим итогом осуществляется путем анализа ее выполнения за годы реализации, при этом:</w:t>
      </w:r>
    </w:p>
    <w:p w:rsidR="00000000" w:rsidRDefault="0005338A">
      <w:pPr>
        <w:pStyle w:val="newncpi"/>
        <w:divId w:val="112020439"/>
      </w:pPr>
      <w:r>
        <w:t>для оценки степени достижения показателей, характеризующих результа</w:t>
      </w:r>
      <w:r>
        <w:t>т принятых мер в течение отдельного года и имеющих:</w:t>
      </w:r>
    </w:p>
    <w:p w:rsidR="00000000" w:rsidRDefault="0005338A">
      <w:pPr>
        <w:pStyle w:val="newncpi"/>
        <w:divId w:val="112020439"/>
      </w:pPr>
      <w:r>
        <w:t>абсолютные значения, – суммируются фактические значения по каждому году анализируемого периода и сопоставляются с суммой плановых значений за аналогичный период (показатели по количеству разработанных нор</w:t>
      </w:r>
      <w:r>
        <w:t>мативных правовых актов, инструкций, по количеству переоснащенных учебных лабораторий, по количеству специалистов фармацевтической отрасли, прошедших переобучение (повышение квалификации), по количеству специалистов, подготовленных для фармацевтической отр</w:t>
      </w:r>
      <w:r>
        <w:t>асли на первой и второй ступенях высшего образования);</w:t>
      </w:r>
    </w:p>
    <w:p w:rsidR="00000000" w:rsidRDefault="0005338A">
      <w:pPr>
        <w:pStyle w:val="newncpi"/>
        <w:divId w:val="112020439"/>
      </w:pPr>
      <w:r>
        <w:t>относительные значения, – среднее арифметическое фактических значений каждого года анализируемого периода сопоставляется со средним арифметическим плановых значений (показатели по доле отечественных ле</w:t>
      </w:r>
      <w:r>
        <w:t>карственных средств на внутреннем рынке в стоимостном выражении и по удельному весу экспорта лекарственных средств в общем объеме производства лекарственных средств).</w:t>
      </w:r>
    </w:p>
    <w:p w:rsidR="00000000" w:rsidRDefault="0005338A">
      <w:pPr>
        <w:pStyle w:val="newncpi"/>
        <w:divId w:val="112020439"/>
      </w:pPr>
      <w:r>
        <w:t>При оценке степени соответствия фактического объема финансирования Государственной програ</w:t>
      </w:r>
      <w:r>
        <w:t>ммы (подпрограммы) запланированному с нарастающим итогом сопоставляются суммарные значения фактического и планового объемов финансирования Государственной программы (подпрограммы) в каждом году анализируемого периода соответственно.</w:t>
      </w:r>
    </w:p>
    <w:p w:rsidR="00000000" w:rsidRDefault="0005338A">
      <w:pPr>
        <w:pStyle w:val="newncpi"/>
        <w:divId w:val="112020439"/>
      </w:pPr>
      <w:r>
        <w:t>Оценка эффективности ре</w:t>
      </w:r>
      <w:r>
        <w:t>ализации Государственной программы (подпрограммы) проводится ответственным заказчиком ежегодно.</w:t>
      </w:r>
    </w:p>
    <w:p w:rsidR="00000000" w:rsidRDefault="0005338A">
      <w:pPr>
        <w:pStyle w:val="newncpi"/>
        <w:divId w:val="112020439"/>
      </w:pPr>
      <w:r>
        <w:t>Эффективность реализации Государственной программы (подпрограммы) оценивается как высокая, если значение Э</w:t>
      </w:r>
      <w:r>
        <w:rPr>
          <w:vertAlign w:val="subscript"/>
        </w:rPr>
        <w:t>ГП</w:t>
      </w:r>
      <w:r>
        <w:t xml:space="preserve"> составляет не менее 90 процентов, как средняя, если</w:t>
      </w:r>
      <w:r>
        <w:t xml:space="preserve"> значение Э</w:t>
      </w:r>
      <w:r>
        <w:rPr>
          <w:vertAlign w:val="subscript"/>
        </w:rPr>
        <w:t>ГП</w:t>
      </w:r>
      <w:r>
        <w:t xml:space="preserve"> составляет не менее 80 процентов, как удовлетворительная, если значение Э</w:t>
      </w:r>
      <w:r>
        <w:rPr>
          <w:vertAlign w:val="subscript"/>
        </w:rPr>
        <w:t>ГП</w:t>
      </w:r>
      <w:r>
        <w:t xml:space="preserve"> составляет не менее 70 процентов, как неудовлетворительная – в остальных случаях.</w:t>
      </w:r>
    </w:p>
    <w:p w:rsidR="00000000" w:rsidRDefault="0005338A">
      <w:pPr>
        <w:pStyle w:val="chapter"/>
        <w:divId w:val="112020439"/>
      </w:pPr>
      <w:r>
        <w:lastRenderedPageBreak/>
        <w:t>ГЛАВА 6</w:t>
      </w:r>
      <w:r>
        <w:br/>
        <w:t>ОСНОВНЫЕ РИСКИ, МЕХАНИЗМЫ ПО УПРАВЛЕНИЮ РИСКАМИ И МЕРЫ ПО ИХ МИНИМИЗАЦИИ</w:t>
      </w:r>
    </w:p>
    <w:p w:rsidR="00000000" w:rsidRDefault="0005338A">
      <w:pPr>
        <w:pStyle w:val="newncpi"/>
        <w:divId w:val="112020439"/>
      </w:pPr>
      <w:r>
        <w:t>При</w:t>
      </w:r>
      <w:r>
        <w:t xml:space="preserve"> достижении цели и реализации задач Государственной программы предполагается осуществление мер, направленных на предотвращение негативного воздействия возможных рисков и повышение уровня гарантированности достижения предусмотренных конечных результатов.</w:t>
      </w:r>
    </w:p>
    <w:p w:rsidR="00000000" w:rsidRDefault="0005338A">
      <w:pPr>
        <w:pStyle w:val="newncpi"/>
        <w:divId w:val="112020439"/>
      </w:pPr>
      <w:r>
        <w:t>Оц</w:t>
      </w:r>
      <w:r>
        <w:t>енка совокупного риска основывается на разделении каждой из приводимых ниже групп рисков на 3 категории, при этом для каждой категории определяется относительный количественный показатель, выраженный в пунктах: низкий уровень риска (1 пункт), средний урове</w:t>
      </w:r>
      <w:r>
        <w:t>нь риска (2 пункта), высокий уровень риска (3 пункта).</w:t>
      </w:r>
    </w:p>
    <w:p w:rsidR="00000000" w:rsidRDefault="0005338A">
      <w:pPr>
        <w:pStyle w:val="newncpi"/>
        <w:divId w:val="112020439"/>
      </w:pPr>
      <w:r>
        <w:t>Приемлемым для категории принимается уровень риска, соответствующий среднему или низкому.</w:t>
      </w:r>
    </w:p>
    <w:p w:rsidR="00000000" w:rsidRDefault="0005338A">
      <w:pPr>
        <w:pStyle w:val="newncpi"/>
        <w:divId w:val="112020439"/>
      </w:pPr>
      <w:r>
        <w:t>Уровень совокупного риска рассчитывается как среднее арифметическое уровней всех основных категорий (групп) рис</w:t>
      </w:r>
      <w:r>
        <w:t>ков.</w:t>
      </w:r>
    </w:p>
    <w:p w:rsidR="00000000" w:rsidRDefault="0005338A">
      <w:pPr>
        <w:pStyle w:val="newncpi"/>
        <w:divId w:val="112020439"/>
      </w:pPr>
      <w:r>
        <w:t>При реализации Государственной программы будут оцениваться следующие основные категории (группы) рисков:</w:t>
      </w:r>
    </w:p>
    <w:p w:rsidR="00000000" w:rsidRDefault="0005338A">
      <w:pPr>
        <w:pStyle w:val="newncpi"/>
        <w:divId w:val="112020439"/>
      </w:pPr>
      <w:r>
        <w:t>макроэкономические риски (в том числе мировая финансовая нестабильность, снижение темпов роста экономики и уровня инвестиционной активности, высок</w:t>
      </w:r>
      <w:r>
        <w:t>ий уровень инфляции, девальвация национальной валюты, рост тарифов и цен на энергоресурсы, стоимость оборудования, химических реактивов и других материально-технических средств), которые могут оказать негативное влияние на финансирование мероприятий Госуда</w:t>
      </w:r>
      <w:r>
        <w:t>рственной программы из различных источников в запланированных объемах, а также на ценовую конкурентоспособность продукции отечественных производителей лекарственных средств;</w:t>
      </w:r>
    </w:p>
    <w:p w:rsidR="00000000" w:rsidRDefault="0005338A">
      <w:pPr>
        <w:pStyle w:val="newncpi"/>
        <w:divId w:val="112020439"/>
      </w:pPr>
      <w:r>
        <w:t xml:space="preserve">внешнеторговые риски, обусловленные планируемым вступлением Республики Беларусь в </w:t>
      </w:r>
      <w:r>
        <w:t>ВТО, а также вступлением в ВТО основного внешнеэкономического партнера – России. Такие риски могут ограничить финансирование научно-исследовательских и опытно-конструкторских работ, а также инвестиционных проектов в рамках Государственной программы вследст</w:t>
      </w:r>
      <w:r>
        <w:t>вие запрета на регистрацию генериковых лекарственных форм в связи с возможным вступлением в силу действия так называемого периода эксклюзивности и запрета на реализацию мер государственной поддержки отечественных производителей импортозамещающей продукции;</w:t>
      </w:r>
    </w:p>
    <w:p w:rsidR="00000000" w:rsidRDefault="0005338A">
      <w:pPr>
        <w:pStyle w:val="newncpi"/>
        <w:divId w:val="112020439"/>
      </w:pPr>
      <w:r>
        <w:t>технологические риски, связанные с ошибками среднесрочного прогнозирования научно-технологического развития Республики Беларусь и возникающей в связи с этим проблемой устаревания разрабатываемых в рамках Государственной программы лекарственных средств, со</w:t>
      </w:r>
      <w:r>
        <w:t>здаваемых технологий и как следствие с сокращением спроса на продукцию отечественных производителей;</w:t>
      </w:r>
    </w:p>
    <w:p w:rsidR="00000000" w:rsidRDefault="0005338A">
      <w:pPr>
        <w:pStyle w:val="newncpi"/>
        <w:divId w:val="112020439"/>
      </w:pPr>
      <w:r>
        <w:t>операционные риски, обусловленные невозможностью управления расходованием средств в рамках Государственной программы из внебюджетных источников и республик</w:t>
      </w:r>
      <w:r>
        <w:t>анского бюджета;</w:t>
      </w:r>
    </w:p>
    <w:p w:rsidR="00000000" w:rsidRDefault="0005338A">
      <w:pPr>
        <w:pStyle w:val="newncpi"/>
        <w:divId w:val="112020439"/>
      </w:pPr>
      <w:r>
        <w:t xml:space="preserve">инфраструктурные риски, связанные с отсутствием достаточного количества предприятий, сертифицированных в соответствии с требованиями Надлежащей производственной практики (далее – GMP), а также современных научно-исследовательских центров, </w:t>
      </w:r>
      <w:r>
        <w:t>осуществляющих разработку лекарств и фармацевтических субстанций по полному циклу в соответствии с требованиями Надлежащей лабораторной практики (GLP).</w:t>
      </w:r>
    </w:p>
    <w:p w:rsidR="00000000" w:rsidRDefault="0005338A">
      <w:pPr>
        <w:pStyle w:val="newncpi"/>
        <w:divId w:val="112020439"/>
      </w:pPr>
      <w:r>
        <w:lastRenderedPageBreak/>
        <w:t>Уровень макроэкономических рисков оценивается как средний (2 пункта) в связи с прогнозируемым экономичес</w:t>
      </w:r>
      <w:r>
        <w:t>ким ростом с 2016 года и реализацией Правительством Республики Беларусь комплекса мер по снижению инфляции и сохранению стабильности экономики.</w:t>
      </w:r>
    </w:p>
    <w:p w:rsidR="00000000" w:rsidRDefault="0005338A">
      <w:pPr>
        <w:pStyle w:val="newncpi"/>
        <w:divId w:val="112020439"/>
      </w:pPr>
      <w:r>
        <w:t xml:space="preserve">Уровень внешнеторговых рисков оценивается как низкий (1 пункт) ввиду вступления в силу с 1 января 2016 г. </w:t>
      </w:r>
      <w:hyperlink r:id="rId15" w:anchor="a7" w:tooltip="+" w:history="1">
        <w:r>
          <w:rPr>
            <w:rStyle w:val="a3"/>
          </w:rPr>
          <w:t>Соглашения</w:t>
        </w:r>
      </w:hyperlink>
      <w:r>
        <w:t xml:space="preserve"> о единых принципах и правилах обращения лекарственных средств в рамках Евразийского экономического союза от 23 декабря 2014 года, предусматривающего создание оптимальных условий для развития фармацевт</w:t>
      </w:r>
      <w:r>
        <w:t>ической промышленности, повышение конкурентоспособности фармацевтической продукции, производимой на территории государств – членов ЕАЭС.</w:t>
      </w:r>
    </w:p>
    <w:p w:rsidR="00000000" w:rsidRDefault="0005338A">
      <w:pPr>
        <w:pStyle w:val="newncpi"/>
        <w:divId w:val="112020439"/>
      </w:pPr>
      <w:r>
        <w:t xml:space="preserve">Уровень технологических и инфраструктурных рисков оценивается как средний (2 пункта), операционных рисков – как низкий </w:t>
      </w:r>
      <w:r>
        <w:t>(1 пункт).</w:t>
      </w:r>
    </w:p>
    <w:p w:rsidR="00000000" w:rsidRDefault="0005338A">
      <w:pPr>
        <w:pStyle w:val="newncpi"/>
        <w:divId w:val="112020439"/>
      </w:pPr>
      <w:r>
        <w:t>Уровень совокупного риска в принятых обозначениях оценивается в 1,6 пункта, что соответствует среднему уровню риска со склонностью к низкому.</w:t>
      </w:r>
    </w:p>
    <w:p w:rsidR="00000000" w:rsidRDefault="0005338A">
      <w:pPr>
        <w:pStyle w:val="newncpi"/>
        <w:divId w:val="112020439"/>
      </w:pPr>
      <w:r>
        <w:t>Управление рисками при выполнении мероприятий Государственной программы будет осуществляться на основе:</w:t>
      </w:r>
    </w:p>
    <w:p w:rsidR="00000000" w:rsidRDefault="0005338A">
      <w:pPr>
        <w:pStyle w:val="newncpi"/>
        <w:divId w:val="112020439"/>
      </w:pPr>
      <w:r>
        <w:t>итогов ежегодного мониторинга их результатов, прогнозов и рекомендаций в сфере управления фармацевтическим сектором экономики;</w:t>
      </w:r>
    </w:p>
    <w:p w:rsidR="00000000" w:rsidRDefault="0005338A">
      <w:pPr>
        <w:pStyle w:val="newncpi"/>
        <w:divId w:val="112020439"/>
      </w:pPr>
      <w:r>
        <w:t xml:space="preserve">подготовленных ответственным заказчиком оперативных сводных материалов о ходе реализации и оценке эффективности Государственной </w:t>
      </w:r>
      <w:r>
        <w:t>программы.</w:t>
      </w:r>
    </w:p>
    <w:p w:rsidR="00000000" w:rsidRDefault="0005338A">
      <w:pPr>
        <w:pStyle w:val="newncpi"/>
        <w:divId w:val="112020439"/>
      </w:pPr>
      <w:r>
        <w:t>В целях минимизации рисков предусматриваются следующие меры:</w:t>
      </w:r>
    </w:p>
    <w:p w:rsidR="00000000" w:rsidRDefault="0005338A">
      <w:pPr>
        <w:pStyle w:val="newncpi"/>
        <w:divId w:val="112020439"/>
      </w:pPr>
      <w:r>
        <w:t>равномерное в течение текущего года распределение финансовых средств на мероприятия с длительным сроком выполнения;</w:t>
      </w:r>
    </w:p>
    <w:p w:rsidR="00000000" w:rsidRDefault="0005338A">
      <w:pPr>
        <w:pStyle w:val="newncpi"/>
        <w:divId w:val="112020439"/>
      </w:pPr>
      <w:r>
        <w:t>осуществление в рамках Государственной программы мониторинга ситуации на мировом фармацевтическом рынке и рынке государств – членов ЕАЭС, позволяющего прогнозировать тенденции на указанных рынках, и начало финансирования только тех проектов, актуальность к</w:t>
      </w:r>
      <w:r>
        <w:t>оторых не будет потеряна в течение 10 лет с начала их реализации;</w:t>
      </w:r>
    </w:p>
    <w:p w:rsidR="00000000" w:rsidRDefault="0005338A">
      <w:pPr>
        <w:pStyle w:val="newncpi"/>
        <w:divId w:val="112020439"/>
      </w:pPr>
      <w:r>
        <w:t>поиск методов стимулирования фармацевтической сферы экономики, определенных в рамках соглашений ВТО и ЕАЭС, развитие межгосударственного и государственно-частного партнерства;</w:t>
      </w:r>
    </w:p>
    <w:p w:rsidR="00000000" w:rsidRDefault="0005338A">
      <w:pPr>
        <w:pStyle w:val="newncpi"/>
        <w:divId w:val="112020439"/>
      </w:pPr>
      <w:r>
        <w:t>формирование е</w:t>
      </w:r>
      <w:r>
        <w:t>диного научно-инновационного пространства со странами ЕАЭС.</w:t>
      </w:r>
    </w:p>
    <w:p w:rsidR="00000000" w:rsidRDefault="0005338A">
      <w:pPr>
        <w:pStyle w:val="chapter"/>
        <w:divId w:val="112020439"/>
      </w:pPr>
      <w:r>
        <w:t>ГЛАВА 7</w:t>
      </w:r>
      <w:r>
        <w:br/>
        <w:t>НАУЧНОЕ ОБЕСПЕЧЕНИЕ ГОСУДАРСТВЕННОЙ ПРОГРАММЫ</w:t>
      </w:r>
    </w:p>
    <w:p w:rsidR="00000000" w:rsidRDefault="0005338A">
      <w:pPr>
        <w:pStyle w:val="newncpi"/>
        <w:divId w:val="112020439"/>
      </w:pPr>
      <w:r>
        <w:t>Мировой опыт создания новых лекарственных средств показывает, что их разработка и внедрение в производство предусматривают проведение комплекс</w:t>
      </w:r>
      <w:r>
        <w:t>а мероприятий, включающих исследования в области химии и химических технологий, микробиологии и биотехнологии, фармакологии и фармации, экспериментальной и клинической медицины. Это свидетельствует о высокой наукоемкости фармацевтической промышленности.</w:t>
      </w:r>
    </w:p>
    <w:p w:rsidR="00000000" w:rsidRDefault="0005338A">
      <w:pPr>
        <w:pStyle w:val="newncpi"/>
        <w:divId w:val="112020439"/>
      </w:pPr>
      <w:r>
        <w:lastRenderedPageBreak/>
        <w:t>Во</w:t>
      </w:r>
      <w:r>
        <w:t>зможности отечественной науки определены наработками в области фундаментальных исследований, существующими связями академической, медицинской, вузовской и отраслевой науки.</w:t>
      </w:r>
    </w:p>
    <w:p w:rsidR="00000000" w:rsidRDefault="0005338A">
      <w:pPr>
        <w:pStyle w:val="newncpi"/>
        <w:divId w:val="112020439"/>
      </w:pPr>
      <w:r>
        <w:t>Для обеспечения быстрой и эффективной организации производства адаптация создаваемы</w:t>
      </w:r>
      <w:r>
        <w:t>х новых технологий к производственным условиям ведется уже на стадии разработки технологических процессов получения новых лекарственных веществ. Это достигается путем проведения научно-исследовательских работ совместно с промышленными фармацевтическими пре</w:t>
      </w:r>
      <w:r>
        <w:t>дприятиями, на которых созданы опытные и опытно-промышленные установки, позволяющие поэтапно осуществить освоение разрабатываемых технологий. Контрольно-аналитические и опытно-технологические лаборатории оснащены необходимым современным оборудованием для п</w:t>
      </w:r>
      <w:r>
        <w:t>роведения контрольных испытаний на всех стадиях технологического процесса.</w:t>
      </w:r>
    </w:p>
    <w:p w:rsidR="00000000" w:rsidRDefault="0005338A">
      <w:pPr>
        <w:pStyle w:val="newncpi"/>
        <w:divId w:val="112020439"/>
      </w:pPr>
      <w:r>
        <w:t xml:space="preserve">Создание и внедрение в производство новых видов лекарственных средств, фармацевтических субстанций, а также совершенствование нормативной правовой базы Республики Беларусь в данной </w:t>
      </w:r>
      <w:r>
        <w:t>области предусматриваются в том числе в рамках:</w:t>
      </w:r>
    </w:p>
    <w:p w:rsidR="00000000" w:rsidRDefault="0005338A">
      <w:pPr>
        <w:pStyle w:val="newncpi"/>
        <w:divId w:val="112020439"/>
      </w:pPr>
      <w:r>
        <w:t>подпрограмм «Лекарственные средства» и «Аминокислоты» Государственной научно-технической программы «Создание и освоение выпуска современных фармацевтических субстанций и лекарственных средств на основе химиче</w:t>
      </w:r>
      <w:r>
        <w:t xml:space="preserve">ских и микробиологических технологий («Фармацевтические субстанции и лекарственные средства»), 2011–2015 годы», включенной в </w:t>
      </w:r>
      <w:hyperlink r:id="rId16" w:anchor="a20" w:tooltip="+" w:history="1">
        <w:r>
          <w:rPr>
            <w:rStyle w:val="a3"/>
          </w:rPr>
          <w:t>перечень</w:t>
        </w:r>
      </w:hyperlink>
      <w:r>
        <w:t xml:space="preserve"> государственных научно-технических программ на 2011–2015 годы и на пе</w:t>
      </w:r>
      <w:r>
        <w:t>риод до 2020 года, утвержденный постановлением Совета Министров Республики Беларусь от 1 февраля 2011 г. № 116 «Об утверждении перечней научно-технических программ на 2011–2015 годы и на период до 2020 года и признании утратившими силу некоторых постановле</w:t>
      </w:r>
      <w:r>
        <w:t>ний Совета Министров Республики Беларусь» (Национальный реестр правовых актов Республики Беларусь, 2011 г., № 20, 5/33254);</w:t>
      </w:r>
    </w:p>
    <w:p w:rsidR="00000000" w:rsidRDefault="0005338A">
      <w:pPr>
        <w:pStyle w:val="newncpi"/>
        <w:divId w:val="112020439"/>
      </w:pPr>
      <w:r>
        <w:t xml:space="preserve">подпрограммы «Медицинская биотехнология» Государственной </w:t>
      </w:r>
      <w:hyperlink r:id="rId17" w:anchor="a3" w:tooltip="+" w:history="1">
        <w:r>
          <w:rPr>
            <w:rStyle w:val="a3"/>
          </w:rPr>
          <w:t>программы</w:t>
        </w:r>
      </w:hyperlink>
      <w:r>
        <w:t xml:space="preserve"> «Инновационные</w:t>
      </w:r>
      <w:r>
        <w:t xml:space="preserve"> биотехнологии» на 2010–2012 годы и на период до 2015 года, утвержденной постановлением Совета Министров Республики Беларусь от 23 октября 2009 г. № 1386 (Национальный реестр правовых актов Республики Беларусь, 2009 г., № 262, 5/30653);</w:t>
      </w:r>
    </w:p>
    <w:p w:rsidR="00000000" w:rsidRDefault="0005338A">
      <w:pPr>
        <w:pStyle w:val="newncpi"/>
        <w:divId w:val="112020439"/>
      </w:pPr>
      <w:r>
        <w:t xml:space="preserve">Государственной </w:t>
      </w:r>
      <w:hyperlink r:id="rId18" w:anchor="a2" w:tooltip="+" w:history="1">
        <w:r>
          <w:rPr>
            <w:rStyle w:val="a3"/>
          </w:rPr>
          <w:t>программы</w:t>
        </w:r>
      </w:hyperlink>
      <w:r>
        <w:t xml:space="preserve"> по развитию импортозамещающих производств фармацевтических субстанций, готовых лекарственных и диагностических средств в Республике Беларусь на 2010–2014 годы и на период до 2020 года, утвержденной </w:t>
      </w:r>
      <w:r>
        <w:t>постановлением Совета Министров Республики Беларусь от 2 декабря 2009 г. № 1566 (Национальный реестр правовых актов Республики Беларусь, 2009 г., № 292, 5/30834);</w:t>
      </w:r>
    </w:p>
    <w:p w:rsidR="00000000" w:rsidRDefault="0005338A">
      <w:pPr>
        <w:pStyle w:val="newncpi"/>
        <w:divId w:val="112020439"/>
      </w:pPr>
      <w:r>
        <w:t xml:space="preserve">Государственной программы научных исследований «Медицина и фармация», включенной в </w:t>
      </w:r>
      <w:hyperlink r:id="rId19" w:anchor="a24" w:tooltip="+" w:history="1">
        <w:r>
          <w:rPr>
            <w:rStyle w:val="a3"/>
          </w:rPr>
          <w:t>перечень</w:t>
        </w:r>
      </w:hyperlink>
      <w:r>
        <w:t xml:space="preserve"> государственных программ научных исследований на 2011–2015 годы, утвержденный постановлением Совета Министров Республики Беларусь от 9 июня 2010 г. № 886 (Национальный реестр правовых актов Республики Бел</w:t>
      </w:r>
      <w:r>
        <w:t>арусь, 2010 г., № 145, 5/32008);</w:t>
      </w:r>
    </w:p>
    <w:p w:rsidR="00000000" w:rsidRDefault="0005338A">
      <w:pPr>
        <w:pStyle w:val="newncpi"/>
        <w:divId w:val="112020439"/>
      </w:pPr>
      <w:r>
        <w:t xml:space="preserve">Государственной научно-технической программы «Новые технологии диагностики, лечения и профилактики», Государственной научно-технической программы «Инфекции и микробиологические нанотехнологии», включенных в </w:t>
      </w:r>
      <w:hyperlink r:id="rId20" w:anchor="a20" w:tooltip="+" w:history="1">
        <w:r>
          <w:rPr>
            <w:rStyle w:val="a3"/>
          </w:rPr>
          <w:t>перечень</w:t>
        </w:r>
      </w:hyperlink>
      <w:r>
        <w:t xml:space="preserve"> государственных научно-технических программ на 2011–2015 годы и на период до 2020 года.</w:t>
      </w:r>
    </w:p>
    <w:p w:rsidR="00000000" w:rsidRDefault="0005338A">
      <w:pPr>
        <w:pStyle w:val="newncpi"/>
        <w:divId w:val="112020439"/>
      </w:pPr>
      <w:r>
        <w:t>Научное обеспечение Государственной программы будет осуществляться ведущими учеными страны в области разработки и внедрени</w:t>
      </w:r>
      <w:r>
        <w:t>я в производство лекарственных средств разных специальностей (фармакологами, фармацевтами, технологами, химиками, биологами, микробиологами) учреждений Министерства здравоохранения, Национальной академии наук Беларуси, Белорусского государственного универс</w:t>
      </w:r>
      <w:r>
        <w:t>итета, фармацевтических организаций.</w:t>
      </w:r>
    </w:p>
    <w:p w:rsidR="00000000" w:rsidRDefault="0005338A">
      <w:pPr>
        <w:pStyle w:val="newncpi"/>
        <w:divId w:val="112020439"/>
      </w:pPr>
      <w:r>
        <w:lastRenderedPageBreak/>
        <w:t>Основная задача проводимых научно-исследовательских и опытно-технологических работ – создание и освоение в производстве высокорентабельной конкурентоспособной и высоколиквидной продукции, а также увеличение объема произ</w:t>
      </w:r>
      <w:r>
        <w:t>водства импортозамещающей и экспортно-ориентированной продукции на модернизированных с учетом требований GMP и созданных производственных линиях.</w:t>
      </w:r>
    </w:p>
    <w:p w:rsidR="00000000" w:rsidRDefault="0005338A">
      <w:pPr>
        <w:pStyle w:val="newncpi"/>
        <w:divId w:val="112020439"/>
      </w:pPr>
      <w:r>
        <w:t>Первоочередными направлениями научного обеспечения Государственной программы являются:</w:t>
      </w:r>
    </w:p>
    <w:p w:rsidR="00000000" w:rsidRDefault="0005338A">
      <w:pPr>
        <w:pStyle w:val="newncpi"/>
        <w:divId w:val="112020439"/>
      </w:pPr>
      <w:r>
        <w:t>расширение номенклатуры</w:t>
      </w:r>
      <w:r>
        <w:t xml:space="preserve"> отечественных лекарственных средств за счет освоения генерических и оригинальных лекарственных средств для лечения заболеваний сердечно-сосудистой и костной системы, желудочно-кишечного тракта, антиинфекционных препаратов для системного применения, препар</w:t>
      </w:r>
      <w:r>
        <w:t>атов для лечения сахарного диабета, противоопухолевых и противотуберкулезных средств, кровезаменителей и нейропротекторов;</w:t>
      </w:r>
    </w:p>
    <w:p w:rsidR="00000000" w:rsidRDefault="0005338A">
      <w:pPr>
        <w:pStyle w:val="newncpi"/>
        <w:divId w:val="112020439"/>
      </w:pPr>
      <w:r>
        <w:t>обеспечение качества лекарственных средств, начиная с фармацевтической субстанции и заканчивая готовыми лекарственными формами;</w:t>
      </w:r>
    </w:p>
    <w:p w:rsidR="00000000" w:rsidRDefault="0005338A">
      <w:pPr>
        <w:pStyle w:val="newncpi"/>
        <w:divId w:val="112020439"/>
      </w:pPr>
      <w:r>
        <w:t>осуще</w:t>
      </w:r>
      <w:r>
        <w:t>ствление консалтинговой деятельности при разработке систем обеспечения качества в соответствии с принципами GMP и подготовке их к сертификации.</w:t>
      </w:r>
    </w:p>
    <w:p w:rsidR="00000000" w:rsidRDefault="0005338A">
      <w:pPr>
        <w:pStyle w:val="chapter"/>
        <w:divId w:val="112020439"/>
      </w:pPr>
      <w:bookmarkStart w:id="3" w:name="a17"/>
      <w:bookmarkEnd w:id="3"/>
      <w:r>
        <w:t>ГЛАВА 8</w:t>
      </w:r>
      <w:r>
        <w:br/>
        <w:t>ОБЩАЯ ХАРАКТЕРИСТИКА И НАПРАВЛЕНИЯ РЕАЛИЗАЦИИ ПОДПРОГРАММЫ 1 «РАЗРАБОТКА И ПРОИЗВОДСТВО НОВЫХ ЛЕКАРСТВЕН</w:t>
      </w:r>
      <w:r>
        <w:t>НЫХ СРЕДСТВ»</w:t>
      </w:r>
    </w:p>
    <w:p w:rsidR="00000000" w:rsidRDefault="0005338A">
      <w:pPr>
        <w:pStyle w:val="newncpi"/>
        <w:divId w:val="112020439"/>
      </w:pPr>
      <w:r>
        <w:t>Факторами, создающими угрозу национальной безопасности в сфере производства и обращения лекарственных средств, являются высокая зависимость от импорта лекарственных средств, увеличение количества и раннее развитие хронических заболеваний, прис</w:t>
      </w:r>
      <w:r>
        <w:t>утствие природных эпидемических угроз.</w:t>
      </w:r>
    </w:p>
    <w:p w:rsidR="00000000" w:rsidRDefault="0005338A">
      <w:pPr>
        <w:pStyle w:val="newncpi"/>
        <w:divId w:val="112020439"/>
      </w:pPr>
      <w:r>
        <w:t>Государственной политикой в области лекарственного обеспечения предусматриваются:</w:t>
      </w:r>
    </w:p>
    <w:p w:rsidR="00000000" w:rsidRDefault="0005338A">
      <w:pPr>
        <w:pStyle w:val="newncpi"/>
        <w:divId w:val="112020439"/>
      </w:pPr>
      <w:r>
        <w:t>развитие импортозамещающих производств и создание условий для производства лекарственных средств на фармацевтических предприятиях стран</w:t>
      </w:r>
      <w:r>
        <w:t>ы, соответствующих требованиям стандартов GMP;</w:t>
      </w:r>
    </w:p>
    <w:p w:rsidR="00000000" w:rsidRDefault="0005338A">
      <w:pPr>
        <w:pStyle w:val="newncpi"/>
        <w:divId w:val="112020439"/>
      </w:pPr>
      <w:r>
        <w:t>расширение номенклатуры наиболее эффективных генерических лекарственных средств, создание новых современных инновационных лекарственных форм с улучшенными фармакокинетическими и фармакодинамическими характерис</w:t>
      </w:r>
      <w:r>
        <w:t>тиками, систем адресной доставки действующего активного вещества в организм;</w:t>
      </w:r>
    </w:p>
    <w:p w:rsidR="00000000" w:rsidRDefault="0005338A">
      <w:pPr>
        <w:pStyle w:val="newncpi"/>
        <w:divId w:val="112020439"/>
      </w:pPr>
      <w:r>
        <w:t>государственная поддержка научных исследований, направленных на разработку и создание инновационных эффективных лекарственных средств и готовых лекарственных форм.</w:t>
      </w:r>
    </w:p>
    <w:p w:rsidR="00000000" w:rsidRDefault="0005338A">
      <w:pPr>
        <w:pStyle w:val="newncpi"/>
        <w:divId w:val="112020439"/>
      </w:pPr>
      <w:r>
        <w:t>Современные усл</w:t>
      </w:r>
      <w:r>
        <w:t>овия хозяйствования, наметившиеся тенденции в производстве и реализации лекарственных средств ставят новые цели и задачи перед фармацевтическим сектором здравоохранения. Вопросы разработки, испытания, производства, обеспечения качества и реализации лекарст</w:t>
      </w:r>
      <w:r>
        <w:t>венных средств требуют согласованной деятельности Министерства здравоохранения, учреждений Национальной академии наук Беларуси и Министерства образования.</w:t>
      </w:r>
    </w:p>
    <w:p w:rsidR="00000000" w:rsidRDefault="0005338A">
      <w:pPr>
        <w:pStyle w:val="newncpi"/>
        <w:divId w:val="112020439"/>
      </w:pPr>
      <w:r>
        <w:lastRenderedPageBreak/>
        <w:t>В соответствии с приоритетами социально-экономического развития страны на 2016–2020 годы подпрограммо</w:t>
      </w:r>
      <w:r>
        <w:t>й 1 «Разработка и производство новых лекарственных средств» предполагается обеспечение:</w:t>
      </w:r>
    </w:p>
    <w:p w:rsidR="00000000" w:rsidRDefault="0005338A">
      <w:pPr>
        <w:pStyle w:val="newncpi"/>
        <w:divId w:val="112020439"/>
      </w:pPr>
      <w:r>
        <w:t>развития научно-технического потенциала и наукоемких фармацевтических производств для эффективного реагирования на запросы внутреннего и внешнего рынков лекарственных с</w:t>
      </w:r>
      <w:r>
        <w:t>редств;</w:t>
      </w:r>
    </w:p>
    <w:p w:rsidR="00000000" w:rsidRDefault="0005338A">
      <w:pPr>
        <w:pStyle w:val="newncpi"/>
        <w:divId w:val="112020439"/>
      </w:pPr>
      <w:r>
        <w:t>наиболее полного насыщения внутреннего рынка эффективными лекарственными средствами;</w:t>
      </w:r>
    </w:p>
    <w:p w:rsidR="00000000" w:rsidRDefault="0005338A">
      <w:pPr>
        <w:pStyle w:val="newncpi"/>
        <w:divId w:val="112020439"/>
      </w:pPr>
      <w:r>
        <w:t>создания условий для производства лекарственных средств на фармацевтических предприятиях страны в соответствии с международными требованиями GMP;</w:t>
      </w:r>
    </w:p>
    <w:p w:rsidR="00000000" w:rsidRDefault="0005338A">
      <w:pPr>
        <w:pStyle w:val="newncpi"/>
        <w:divId w:val="112020439"/>
      </w:pPr>
      <w:r>
        <w:t>развития импортозамещающих производств фармацевтических субстанций и готовых лекарственных средств.</w:t>
      </w:r>
    </w:p>
    <w:p w:rsidR="00000000" w:rsidRDefault="0005338A">
      <w:pPr>
        <w:pStyle w:val="newncpi"/>
        <w:divId w:val="112020439"/>
      </w:pPr>
      <w:r>
        <w:t>Результаты исследований в рамках подпрограммы 1 создадут необходимую научно-прикладную базу для решения наиболее значимых социально-экономических задач здра</w:t>
      </w:r>
      <w:r>
        <w:t xml:space="preserve">воохранения, связанных с повышением роли медикаментозного лечения в лечебном процессе, а также задач дальнейшего динамичного развития отечественной фармацевтической промышленности. Выполнение мероприятий данной подпрограммы будет способствовать сокращению </w:t>
      </w:r>
      <w:r>
        <w:t>импорта наиболее емких в денежном выражении лекарственных средств, а также экономии валютных средств, росту экспорта фармацевтической продукции.</w:t>
      </w:r>
    </w:p>
    <w:p w:rsidR="00000000" w:rsidRDefault="0005338A">
      <w:pPr>
        <w:pStyle w:val="newncpi"/>
        <w:divId w:val="112020439"/>
      </w:pPr>
      <w:r>
        <w:t>Подпрограмма 1 включает разделы 1 «Разработка лекарственных средств и фармацевтических субстанций» и 2 «Организ</w:t>
      </w:r>
      <w:r>
        <w:t>ация производства отечественных фармацевтических субстанций и готовых лекарственных форм».</w:t>
      </w:r>
    </w:p>
    <w:p w:rsidR="00000000" w:rsidRDefault="0005338A">
      <w:pPr>
        <w:pStyle w:val="newncpi"/>
        <w:divId w:val="112020439"/>
      </w:pPr>
      <w:r>
        <w:t>В раздел «Разработка лекарственных средств и фармацевтических субстанций» включены мероприятия, направленные на разработку современных экологически безопасных высоки</w:t>
      </w:r>
      <w:r>
        <w:t>х технологий производства готовых лекарственных средств и получения фармацевтических субстанций на основе микробиологического и химического синтеза, растительного и животного сырья, создание новых конкурентоспособных лекарственных средств, позволяющих обес</w:t>
      </w:r>
      <w:r>
        <w:t>печить потребности внутреннего рынка, и расширение экспортного потенциала фармацевтической промышленности, создание отечественных технологий производства импортозамещающих препаратов и расширение номенклатуры производства новых эффективных лекарственных ср</w:t>
      </w:r>
      <w:r>
        <w:t>едств.</w:t>
      </w:r>
    </w:p>
    <w:p w:rsidR="00000000" w:rsidRDefault="0005338A">
      <w:pPr>
        <w:pStyle w:val="newncpi"/>
        <w:divId w:val="112020439"/>
      </w:pPr>
      <w:r>
        <w:t>В ходе реализации Государственной программы в данный раздел предполагается включение мероприятий, предусматривающих создание и освоение в производстве биологических клеточных продуктов, компонентов и препаратов из крови, изделий медицинского назначе</w:t>
      </w:r>
      <w:r>
        <w:t>ния, содержащих в своем составе лекарственные средства и активные фармацевтические ингредиенты, в том числе вводимые в организм с лечебными целями для обеспечения направленного патогенетического фармакотерапевтического эффекта.</w:t>
      </w:r>
    </w:p>
    <w:p w:rsidR="00000000" w:rsidRDefault="0005338A">
      <w:pPr>
        <w:pStyle w:val="newncpi"/>
        <w:divId w:val="112020439"/>
      </w:pPr>
      <w:r>
        <w:t>Реализация мероприятий разде</w:t>
      </w:r>
      <w:r>
        <w:t>ла 1 подпрограммы 1 позволит активизировать работу научных организаций в части разработки новых более эффективных и совершенных лекарственных средств и технологий, продолжить и расширить с учетом потребностей отрасли разработку инновационных и генерических</w:t>
      </w:r>
      <w:r>
        <w:t xml:space="preserve"> лекарственных средств, организовать выпуск продукции.</w:t>
      </w:r>
    </w:p>
    <w:p w:rsidR="00000000" w:rsidRDefault="0005338A">
      <w:pPr>
        <w:pStyle w:val="newncpi"/>
        <w:divId w:val="112020439"/>
      </w:pPr>
      <w:r>
        <w:t>Создание генерических и инновационных лекарственных средств для лечения заболеваний, имеющих наиболее высокую летальность, является приоритетным направлением развития фармацевтической промышленности. В</w:t>
      </w:r>
      <w:r>
        <w:t xml:space="preserve"> стране успешно проводятся исследования в области химической и структурной модификации полисахаридов и синтеза модифицированных производных, используемых в качестве самостоятельных лекарственных средств, а также биорезорбируемых и биосовместимых полимеров.</w:t>
      </w:r>
      <w:r>
        <w:t xml:space="preserve"> Результатом этих исследований стало создание ряда инновационных лекарственных средств, обладающих кровоостанавливающим, </w:t>
      </w:r>
      <w:r>
        <w:lastRenderedPageBreak/>
        <w:t>пролонгированным антимикробным, иммуностимулирующим действием, освоение на фармацевтических предприятиях страны производства противоопу</w:t>
      </w:r>
      <w:r>
        <w:t>холевых лекарственных средств, предназначенных для локальной химиотерапии злокачественных опухолей головного мозга, области головы и шеи.</w:t>
      </w:r>
    </w:p>
    <w:p w:rsidR="00000000" w:rsidRDefault="0005338A">
      <w:pPr>
        <w:pStyle w:val="newncpi"/>
        <w:divId w:val="112020439"/>
      </w:pPr>
      <w:r>
        <w:t>Кроме того, разрабатываются препараты для лечения сердечно-сосудистых заболеваний, ноотропные препараты, иммунокоррект</w:t>
      </w:r>
      <w:r>
        <w:t>оры, препараты для лечения заболеваний костной системы, для лечения желудочно-кишечного тракта, противовоспалительные средства, инфузионные растворы для парентерального питания. Создаваемые лекарственные средства являются оригинальными с использованием оте</w:t>
      </w:r>
      <w:r>
        <w:t>чественных субстанций.</w:t>
      </w:r>
    </w:p>
    <w:p w:rsidR="00000000" w:rsidRDefault="0005338A">
      <w:pPr>
        <w:pStyle w:val="newncpi"/>
        <w:divId w:val="112020439"/>
      </w:pPr>
      <w:r>
        <w:t>Перспективными являются исследования в области создания следующих инновационных лекарственных средств:</w:t>
      </w:r>
    </w:p>
    <w:p w:rsidR="00000000" w:rsidRDefault="0005338A">
      <w:pPr>
        <w:pStyle w:val="newncpi"/>
        <w:divId w:val="112020439"/>
      </w:pPr>
      <w:r>
        <w:t>многокомпонентные лекарственные средства различного действия на основе соединения в одной готовой лекарственной форме нескольких и</w:t>
      </w:r>
      <w:r>
        <w:t>звестных формул;</w:t>
      </w:r>
    </w:p>
    <w:p w:rsidR="00000000" w:rsidRDefault="0005338A">
      <w:pPr>
        <w:pStyle w:val="newncpi"/>
        <w:divId w:val="112020439"/>
      </w:pPr>
      <w:r>
        <w:t>поликомпозитные лекарственные средства на биорезорбируемой основе в качестве средства для лечения ожогов, трофических язв, пролежней, обладающие пролонгированным антибактериальным и анальгетическим эффектами;</w:t>
      </w:r>
    </w:p>
    <w:p w:rsidR="00000000" w:rsidRDefault="0005338A">
      <w:pPr>
        <w:pStyle w:val="newncpi"/>
        <w:divId w:val="112020439"/>
      </w:pPr>
      <w:r>
        <w:t>противоопухолевые лекарственны</w:t>
      </w:r>
      <w:r>
        <w:t>е средства в виде гелеобразующих микро- и наночастиц модифицированных полисахаридов с иммобилизованными цитостатиками, обеспечивающие их пролонгированное действие и адресную доставку к месту локализации опухоли;</w:t>
      </w:r>
    </w:p>
    <w:p w:rsidR="00000000" w:rsidRDefault="0005338A">
      <w:pPr>
        <w:pStyle w:val="newncpi"/>
        <w:divId w:val="112020439"/>
      </w:pPr>
      <w:r>
        <w:t>противорвотные, противовоспалительные лекарс</w:t>
      </w:r>
      <w:r>
        <w:t>твенные средства пролонгированного действия;</w:t>
      </w:r>
    </w:p>
    <w:p w:rsidR="00000000" w:rsidRDefault="0005338A">
      <w:pPr>
        <w:pStyle w:val="newncpi"/>
        <w:divId w:val="112020439"/>
      </w:pPr>
      <w:r>
        <w:t>гемостатические, антимикробные и обезболивающие лекарственные средства для догоспитальной обработки ран.</w:t>
      </w:r>
    </w:p>
    <w:p w:rsidR="00000000" w:rsidRDefault="0005338A">
      <w:pPr>
        <w:pStyle w:val="newncpi"/>
        <w:divId w:val="112020439"/>
      </w:pPr>
      <w:r>
        <w:t>Мероприятиями раздела 1 подпрограммы 1 предусматриваются создание и организация производства:</w:t>
      </w:r>
    </w:p>
    <w:p w:rsidR="00000000" w:rsidRDefault="0005338A">
      <w:pPr>
        <w:pStyle w:val="newncpi"/>
        <w:divId w:val="112020439"/>
      </w:pPr>
      <w:r>
        <w:t>отечественны</w:t>
      </w:r>
      <w:r>
        <w:t>х технологий производства воспроизводимых лекарственных средств (генериков);</w:t>
      </w:r>
    </w:p>
    <w:p w:rsidR="00000000" w:rsidRDefault="0005338A">
      <w:pPr>
        <w:pStyle w:val="newncpi"/>
        <w:divId w:val="112020439"/>
      </w:pPr>
      <w:r>
        <w:t>новых эффективных оригинальных и инновационных лекарственных средств, в том числе второго поколения (обладающих пролонгированным типом действия), на основе модифицированных полиса</w:t>
      </w:r>
      <w:r>
        <w:t>харидов различного фармакотерапевтического действия (антимикробного, противоопухолевого, антиаритмического и другого лечебного действия);</w:t>
      </w:r>
    </w:p>
    <w:p w:rsidR="00000000" w:rsidRDefault="0005338A">
      <w:pPr>
        <w:pStyle w:val="newncpi"/>
        <w:divId w:val="112020439"/>
      </w:pPr>
      <w:r>
        <w:t>лекарственных средств на основе пептидов и производных аминокислот;</w:t>
      </w:r>
    </w:p>
    <w:p w:rsidR="00000000" w:rsidRDefault="0005338A">
      <w:pPr>
        <w:pStyle w:val="newncpi"/>
        <w:divId w:val="112020439"/>
      </w:pPr>
      <w:r>
        <w:t>технологических процессов получения субстанций лек</w:t>
      </w:r>
      <w:r>
        <w:t>арственных средств методами химического и микробного синтеза и готовых лекарственных форм с учетом их различного фармакотерапевтического назначения;</w:t>
      </w:r>
    </w:p>
    <w:p w:rsidR="00000000" w:rsidRDefault="0005338A">
      <w:pPr>
        <w:pStyle w:val="newncpi"/>
        <w:divId w:val="112020439"/>
      </w:pPr>
      <w:r>
        <w:t>ферментных и биологических лекарственных средств на основе растительного, микробного и животного сырья.</w:t>
      </w:r>
    </w:p>
    <w:p w:rsidR="00000000" w:rsidRDefault="0005338A">
      <w:pPr>
        <w:pStyle w:val="newncpi"/>
        <w:divId w:val="112020439"/>
      </w:pPr>
      <w:r>
        <w:t>Все</w:t>
      </w:r>
      <w:r>
        <w:t xml:space="preserve"> запланированные к реализации в рамках раздела 1 подпрограммы 1 разработки характеризуются высокой степенью новизны и наукоемкости, соответствуют мировому уровню развития науки.</w:t>
      </w:r>
    </w:p>
    <w:p w:rsidR="00000000" w:rsidRDefault="0005338A">
      <w:pPr>
        <w:pStyle w:val="newncpi"/>
        <w:divId w:val="112020439"/>
      </w:pPr>
      <w:r>
        <w:lastRenderedPageBreak/>
        <w:t>На мероприятия раздела 1 подпрограммы 1 предполагается израсходовать 13 825 00</w:t>
      </w:r>
      <w:r>
        <w:t>9,71 рубля, в том числе 4 500 418,23 рубля – средства республиканского бюджета, 364 842,98 рубля – средства республиканского централизованного инновационного фонда, 8 959 748,5 рубля – собственные средства исполнителя (исполнителей).</w:t>
      </w:r>
    </w:p>
    <w:p w:rsidR="00000000" w:rsidRDefault="0005338A">
      <w:pPr>
        <w:pStyle w:val="newncpi"/>
        <w:divId w:val="112020439"/>
      </w:pPr>
      <w:r>
        <w:t>Разделом 2 «Организаци</w:t>
      </w:r>
      <w:r>
        <w:t>я производства отечественных фармацевтических субстанций и готовых лекарственных форм» предусматривается выполнение мероприятий по проведению реконструкции фармацевтического предприятия в рамках реализации инвестиционного проекта, обеспечению внедрения ста</w:t>
      </w:r>
      <w:r>
        <w:t>ндартов качества GMP.</w:t>
      </w:r>
    </w:p>
    <w:p w:rsidR="00000000" w:rsidRDefault="0005338A">
      <w:pPr>
        <w:pStyle w:val="newncpi"/>
        <w:divId w:val="112020439"/>
      </w:pPr>
      <w:r>
        <w:t>С 2016 по 2020 год в рамках Государственной программы планируется реализовать один инвестиционный проект общей стоимостью 4 052 000 рублей.</w:t>
      </w:r>
    </w:p>
    <w:p w:rsidR="00000000" w:rsidRDefault="0005338A">
      <w:pPr>
        <w:pStyle w:val="newncpi"/>
        <w:divId w:val="112020439"/>
      </w:pPr>
      <w:r>
        <w:t xml:space="preserve">Завершение уже начатых инвестиционных проектов и реализация запланированного позволят создать </w:t>
      </w:r>
      <w:r>
        <w:t>высокорентабельные производства, соответствующие международным стандартам GMP, выпускающие востребованные высокоэффективные лекарственные средства, что, в свою очередь, существенно сократит импорт лекарственных препаратов и увеличит экспорт белорусской про</w:t>
      </w:r>
      <w:r>
        <w:t>дукции на внешние рынки.</w:t>
      </w:r>
    </w:p>
    <w:p w:rsidR="00000000" w:rsidRDefault="0005338A">
      <w:pPr>
        <w:pStyle w:val="newncpi"/>
        <w:divId w:val="112020439"/>
      </w:pPr>
      <w:r>
        <w:t>Обязательным условием выхода белорусских лекарственных препаратов на внешние рынки является сертификация производств на соответствие требованиям GMP. Национальные требования GMP унифицированы с требованиями GMP ЕС.</w:t>
      </w:r>
    </w:p>
    <w:p w:rsidR="00000000" w:rsidRDefault="0005338A">
      <w:pPr>
        <w:pStyle w:val="newncpi"/>
        <w:divId w:val="112020439"/>
      </w:pPr>
      <w:r>
        <w:t>В 2010 году в Ре</w:t>
      </w:r>
      <w:r>
        <w:t>спублике Беларусь только 6 фармацевтических организаций имели 15 сертификатов соответствия производственных участков требованиям GMP.</w:t>
      </w:r>
    </w:p>
    <w:p w:rsidR="00000000" w:rsidRDefault="0005338A">
      <w:pPr>
        <w:pStyle w:val="newncpi"/>
        <w:divId w:val="112020439"/>
      </w:pPr>
      <w:r>
        <w:t>В 2015 году 13 организаций, выпускающих лекарственные средства, имеют 31 сертификат соответствия производственных участков требованиям GMP. Более того, на сегодняшний день три отечественные организации (РУП «Белмедпрепараты», СООО «Лекфарм» и ООО «Фармтехн</w:t>
      </w:r>
      <w:r>
        <w:t>ология») имеют сертификат соответствия требованиям GMP, выданный Государственной службой лекарственных средств Украины, что позволило возобновить экспортные поставки в этот регион в 2015 году.</w:t>
      </w:r>
    </w:p>
    <w:p w:rsidR="00000000" w:rsidRDefault="0005338A">
      <w:pPr>
        <w:pStyle w:val="newncpi"/>
        <w:divId w:val="112020439"/>
      </w:pPr>
      <w:r>
        <w:t>С 1 января 2016 г. регистрация лекарственных средств для поступ</w:t>
      </w:r>
      <w:r>
        <w:t>ления на общий рынок ЕАЭС будет осуществляться по единым правилам и при условии соответствия их производства требованиям GMP.</w:t>
      </w:r>
    </w:p>
    <w:p w:rsidR="00000000" w:rsidRDefault="0005338A">
      <w:pPr>
        <w:pStyle w:val="newncpi"/>
        <w:divId w:val="112020439"/>
      </w:pPr>
      <w:r>
        <w:t>Развитие фармацевтической отрасли имеет свои особенности и отличия от других сфер промышленного производства. Как правило, выход н</w:t>
      </w:r>
      <w:r>
        <w:t>а проектную мощность нового фармацевтического производства наступает через 1–1,5 года после ввода в эксплуатацию, что связано с необходимостью валидации оборудования, масштабирования технологий, регистрации лекарственных средств и подтверждения их стабильн</w:t>
      </w:r>
      <w:r>
        <w:t>ости.</w:t>
      </w:r>
    </w:p>
    <w:p w:rsidR="00000000" w:rsidRDefault="0005338A">
      <w:pPr>
        <w:pStyle w:val="newncpi"/>
        <w:divId w:val="112020439"/>
      </w:pPr>
      <w:r>
        <w:t>Государственной программой предусматривается завершение реализации инвестиционного проекта «Реконструкция изолированного производственного помещения № 1, расположенного по адресу: г.п. Бешенковичи, ул. Пушкина, 9-1, под размещение предприятия по прои</w:t>
      </w:r>
      <w:r>
        <w:t>зводству первых генерических лекарственных средств в таблетированных, капсулированных и инъекционных формах», реализуемого СООО «НАТИВИТА».</w:t>
      </w:r>
    </w:p>
    <w:p w:rsidR="00000000" w:rsidRDefault="0005338A">
      <w:pPr>
        <w:pStyle w:val="newncpi"/>
        <w:divId w:val="112020439"/>
      </w:pPr>
      <w:r>
        <w:t>Предполагается включение в раздел 2 мероприятий по созданию инжинирингового центра в сфере фармацевтической промышле</w:t>
      </w:r>
      <w:r>
        <w:t xml:space="preserve">нности, обеспечивающего разработку научно обоснованных учебных программ для подготовки специалистов </w:t>
      </w:r>
      <w:r>
        <w:lastRenderedPageBreak/>
        <w:t>фармацевтической отрасли, ускорение трансфера технологий производства высокоэффективных лекарственных средств, а также создание отраслевого центра проведени</w:t>
      </w:r>
      <w:r>
        <w:t>я доклинических исследований лекарственных средств и фармацевтических субстанций.</w:t>
      </w:r>
    </w:p>
    <w:p w:rsidR="00000000" w:rsidRDefault="0005338A">
      <w:pPr>
        <w:pStyle w:val="newncpi"/>
        <w:divId w:val="112020439"/>
      </w:pPr>
      <w:r>
        <w:t>На мероприятия раздела 2 подпрограммы 1 предполагается затратить 4 052 000 рублей собственных средств исполнителя (исполнителей).</w:t>
      </w:r>
    </w:p>
    <w:p w:rsidR="00000000" w:rsidRDefault="0005338A">
      <w:pPr>
        <w:pStyle w:val="newncpi"/>
        <w:divId w:val="112020439"/>
      </w:pPr>
      <w:r>
        <w:t>Всего на подпрограмму 1 предполагается напра</w:t>
      </w:r>
      <w:r>
        <w:t>вить 17 877 009,71 рубля, в том числе 4 500 418,23 рубля – средства республиканского бюджета, 364 842,98 рубля – средства республиканского централизованного инновационного фонда и 13 011 748,5 рубля – собственные средства исполнителя (исполнителей).</w:t>
      </w:r>
    </w:p>
    <w:p w:rsidR="00000000" w:rsidRDefault="0005338A">
      <w:pPr>
        <w:pStyle w:val="newncpi"/>
        <w:divId w:val="112020439"/>
      </w:pPr>
      <w:r>
        <w:t>В резу</w:t>
      </w:r>
      <w:r>
        <w:t>льтате реализации мероприятий подпрограммы 1 Государственной программы будут:</w:t>
      </w:r>
    </w:p>
    <w:p w:rsidR="00000000" w:rsidRDefault="0005338A">
      <w:pPr>
        <w:pStyle w:val="newncpi"/>
        <w:divId w:val="112020439"/>
      </w:pPr>
      <w:r>
        <w:t>разработаны технологии получения лекарственных средств;</w:t>
      </w:r>
    </w:p>
    <w:p w:rsidR="00000000" w:rsidRDefault="0005338A">
      <w:pPr>
        <w:pStyle w:val="newncpi"/>
        <w:divId w:val="112020439"/>
      </w:pPr>
      <w:r>
        <w:t>зарегистрированы и освоены в производстве 5 фармацевтических субстанций и 53 лекарственных средства с учетом дозировки;</w:t>
      </w:r>
    </w:p>
    <w:p w:rsidR="00000000" w:rsidRDefault="0005338A">
      <w:pPr>
        <w:pStyle w:val="newncpi"/>
        <w:divId w:val="112020439"/>
      </w:pPr>
      <w:r>
        <w:t>пр</w:t>
      </w:r>
      <w:r>
        <w:t>оведена реконструкция изолированного производственного помещения в г.п. Бешенковичи для размещения предприятия по производству первых генерических лекарственных средств в таблетированных, капсулированных и инъекционных формах в СООО «НАТИВИТА»;</w:t>
      </w:r>
    </w:p>
    <w:p w:rsidR="00000000" w:rsidRDefault="0005338A">
      <w:pPr>
        <w:pStyle w:val="newncpi"/>
        <w:divId w:val="112020439"/>
      </w:pPr>
      <w:r>
        <w:t>увеличены о</w:t>
      </w:r>
      <w:r>
        <w:t>бъемы производства лекарственных средств в фактических ценах до 1,1–1,2 млрд. рублей;</w:t>
      </w:r>
    </w:p>
    <w:p w:rsidR="00000000" w:rsidRDefault="0005338A">
      <w:pPr>
        <w:pStyle w:val="newncpi"/>
        <w:divId w:val="112020439"/>
      </w:pPr>
      <w:r>
        <w:t>обеспечен рост экспорта отечественной фармацевтической продукции не менее чем в 2 раза по сравнению с 2015 годом;</w:t>
      </w:r>
    </w:p>
    <w:p w:rsidR="00000000" w:rsidRDefault="0005338A">
      <w:pPr>
        <w:pStyle w:val="newncpi"/>
        <w:divId w:val="112020439"/>
      </w:pPr>
      <w:r>
        <w:t xml:space="preserve">выполнен запланированный целевой показатель «выручка от </w:t>
      </w:r>
      <w:r>
        <w:t>реализации на одного среднесписочного работника» на уровне не ниже 123 560 рублей.</w:t>
      </w:r>
    </w:p>
    <w:p w:rsidR="00000000" w:rsidRDefault="0005338A">
      <w:pPr>
        <w:pStyle w:val="newncpi"/>
        <w:divId w:val="112020439"/>
      </w:pPr>
      <w:r>
        <w:t xml:space="preserve">Мероприятия по реализации подпрограммы 1 «Разработка и производство новых лекарственных средств» приведены в </w:t>
      </w:r>
      <w:hyperlink w:anchor="a7" w:tooltip="+" w:history="1">
        <w:r>
          <w:rPr>
            <w:rStyle w:val="a3"/>
          </w:rPr>
          <w:t>приложении 4</w:t>
        </w:r>
      </w:hyperlink>
      <w:r>
        <w:t xml:space="preserve"> к Государственной п</w:t>
      </w:r>
      <w:r>
        <w:t>рограмме.</w:t>
      </w:r>
    </w:p>
    <w:p w:rsidR="00000000" w:rsidRDefault="0005338A">
      <w:pPr>
        <w:pStyle w:val="chapter"/>
        <w:divId w:val="112020439"/>
      </w:pPr>
      <w:bookmarkStart w:id="4" w:name="a18"/>
      <w:bookmarkEnd w:id="4"/>
      <w:r>
        <w:t>ГЛАВА 9</w:t>
      </w:r>
      <w:r>
        <w:br/>
        <w:t>ОБЩАЯ ХАРАКТЕРИСТИКА И НАПРАВЛЕНИЯ РЕАЛИЗАЦИИ ПОДПРОГРАММЫ 2 «НОРМАТИВНАЯ ПРАВОВАЯ БАЗА»</w:t>
      </w:r>
    </w:p>
    <w:p w:rsidR="00000000" w:rsidRDefault="0005338A">
      <w:pPr>
        <w:pStyle w:val="newncpi"/>
        <w:divId w:val="112020439"/>
      </w:pPr>
      <w:r>
        <w:t>В связи с началом функционирования с 1 января 2016 г. единого рынка лекарственных средств ЕАЭС и вступлением в силу норм наднационального законодател</w:t>
      </w:r>
      <w:r>
        <w:t>ьства в рамках подпрограммы 2 «Нормативная правовая база» Государственной программы предусматривается проведение работы по совершенствованию законодательства в данной сфере в целях его гармонизации и унификации в соответствии с общепринятыми международными</w:t>
      </w:r>
      <w:r>
        <w:t xml:space="preserve"> стандартами.</w:t>
      </w:r>
    </w:p>
    <w:p w:rsidR="00000000" w:rsidRDefault="0005338A">
      <w:pPr>
        <w:pStyle w:val="newncpi"/>
        <w:divId w:val="112020439"/>
      </w:pPr>
      <w:r>
        <w:t>Евразийской экономической комиссией разработан Перечень нормативных правовых актов и руководств, планируемых к разработке на 2016–2018 годы, по вопросам регулирования рынка лекарственных средств. Ряд проектов этого Перечня будет разрабатывать</w:t>
      </w:r>
      <w:r>
        <w:t>ся белорусской стороной в рамках выполнения мероприятий подпрограммы 2 «Нормативная правовая база».</w:t>
      </w:r>
    </w:p>
    <w:p w:rsidR="00000000" w:rsidRDefault="0005338A">
      <w:pPr>
        <w:pStyle w:val="newncpi"/>
        <w:divId w:val="112020439"/>
      </w:pPr>
      <w:r>
        <w:lastRenderedPageBreak/>
        <w:t>Развитие фармацевтической промышленности невозможно без создания и постоянного обновления технической нормативной правовой базы, отвечающей современным треб</w:t>
      </w:r>
      <w:r>
        <w:t>ованиям.</w:t>
      </w:r>
    </w:p>
    <w:p w:rsidR="00000000" w:rsidRDefault="0005338A">
      <w:pPr>
        <w:pStyle w:val="newncpi"/>
        <w:divId w:val="112020439"/>
      </w:pPr>
      <w:r>
        <w:t>Мероприятиями подпрограммы 2 предусматриваются:</w:t>
      </w:r>
    </w:p>
    <w:p w:rsidR="00000000" w:rsidRDefault="0005338A">
      <w:pPr>
        <w:pStyle w:val="newncpi"/>
        <w:divId w:val="112020439"/>
      </w:pPr>
      <w:r>
        <w:t>переработка технических кодексов установившейся практики (далее – ТКП) в проекты нормативных правовых документов для принятия в рамках ЕАЭС в целях соответствия отечественных норм в области обеспечен</w:t>
      </w:r>
      <w:r>
        <w:t>ия качества фармацевтической продукции международным требованиям, в том числе в рамках Единого экономического пространства;</w:t>
      </w:r>
    </w:p>
    <w:p w:rsidR="00000000" w:rsidRDefault="0005338A">
      <w:pPr>
        <w:pStyle w:val="newncpi"/>
        <w:divId w:val="112020439"/>
      </w:pPr>
      <w:r>
        <w:t>разработка, согласование и утверждение в установленном порядке технических нормативных правовых актов (далее – ТНПА) в области разра</w:t>
      </w:r>
      <w:r>
        <w:t>ботки, производства и контроля качества лекарственных средств, субстанций, проведения доклинических и клинических испытаний субстанций и готовых лекарственных форм;</w:t>
      </w:r>
    </w:p>
    <w:p w:rsidR="00000000" w:rsidRDefault="0005338A">
      <w:pPr>
        <w:pStyle w:val="newncpi"/>
        <w:divId w:val="112020439"/>
      </w:pPr>
      <w:r>
        <w:t>актуализация и переработка ТНПА и методических документов по GMP.</w:t>
      </w:r>
    </w:p>
    <w:p w:rsidR="00000000" w:rsidRDefault="0005338A">
      <w:pPr>
        <w:pStyle w:val="newncpi"/>
        <w:divId w:val="112020439"/>
      </w:pPr>
      <w:r>
        <w:t>В результате реализации д</w:t>
      </w:r>
      <w:r>
        <w:t>анной подпрограммы планируется:</w:t>
      </w:r>
    </w:p>
    <w:p w:rsidR="00000000" w:rsidRDefault="0005338A">
      <w:pPr>
        <w:pStyle w:val="newncpi"/>
        <w:divId w:val="112020439"/>
      </w:pPr>
      <w:r>
        <w:t>разработать не менее 30 нормативных правовых актов;</w:t>
      </w:r>
    </w:p>
    <w:p w:rsidR="00000000" w:rsidRDefault="0005338A">
      <w:pPr>
        <w:pStyle w:val="newncpi"/>
        <w:divId w:val="112020439"/>
      </w:pPr>
      <w:r>
        <w:t>подготовить комплект ТКП по доклиническим и клиническим исследованиям биологически аналогичных лекарственных средств – гепаринов с низкой молекулярной массой, рекомбинантно</w:t>
      </w:r>
      <w:r>
        <w:t>го инсулина человека, моноклональных антител, альфа- и бета-интерферонов, рекомбинантного эритропоэтина;</w:t>
      </w:r>
    </w:p>
    <w:p w:rsidR="00000000" w:rsidRDefault="0005338A">
      <w:pPr>
        <w:pStyle w:val="newncpi"/>
        <w:divId w:val="112020439"/>
      </w:pPr>
      <w:r>
        <w:t>подготовить ТНПА, устанавливающие требования к документам по качеству биологических лекарственных средств, методам контроля эффективности очистки обору</w:t>
      </w:r>
      <w:r>
        <w:t>дования, используемого для производства биотехнологических лекарственных средств;</w:t>
      </w:r>
    </w:p>
    <w:p w:rsidR="00000000" w:rsidRDefault="0005338A">
      <w:pPr>
        <w:pStyle w:val="newncpi"/>
        <w:divId w:val="112020439"/>
      </w:pPr>
      <w:r>
        <w:t>продолжить работы по разработке ТНПА по вопросам производства лекарственных средств.</w:t>
      </w:r>
    </w:p>
    <w:p w:rsidR="00000000" w:rsidRDefault="0005338A">
      <w:pPr>
        <w:pStyle w:val="newncpi"/>
        <w:divId w:val="112020439"/>
      </w:pPr>
      <w:r>
        <w:t>В реализации подпрограммы 2 будут принимать участие организации Министерства здравоохране</w:t>
      </w:r>
      <w:r>
        <w:t>ния.</w:t>
      </w:r>
    </w:p>
    <w:p w:rsidR="00000000" w:rsidRDefault="0005338A">
      <w:pPr>
        <w:pStyle w:val="newncpi"/>
        <w:divId w:val="112020439"/>
      </w:pPr>
      <w:r>
        <w:t>В 2016–2020 годах на выполнение мероприятий подпрограммы 2 планируется привлечь 1 710 034,99 рубля, в том числе 1 647 175,99 рубля – средства республиканского бюджета, 62 859 рублей – собственные средства исполнителя (исполнителей).</w:t>
      </w:r>
    </w:p>
    <w:p w:rsidR="00000000" w:rsidRDefault="0005338A">
      <w:pPr>
        <w:pStyle w:val="newncpi"/>
        <w:divId w:val="112020439"/>
      </w:pPr>
      <w:r>
        <w:t xml:space="preserve">Мероприятия по реализации подпрограммы 2 «Нормативная правовая база» приведены в </w:t>
      </w:r>
      <w:hyperlink w:anchor="a7" w:tooltip="+" w:history="1">
        <w:r>
          <w:rPr>
            <w:rStyle w:val="a3"/>
          </w:rPr>
          <w:t>приложении 4</w:t>
        </w:r>
      </w:hyperlink>
      <w:r>
        <w:t xml:space="preserve"> к Государственной программе.</w:t>
      </w:r>
    </w:p>
    <w:p w:rsidR="00000000" w:rsidRDefault="0005338A">
      <w:pPr>
        <w:pStyle w:val="chapter"/>
        <w:divId w:val="112020439"/>
      </w:pPr>
      <w:bookmarkStart w:id="5" w:name="a19"/>
      <w:bookmarkEnd w:id="5"/>
      <w:r>
        <w:t>ГЛАВА 10</w:t>
      </w:r>
      <w:r>
        <w:br/>
        <w:t>ОБЩАЯ ХАРАКТЕРИСТИКА И НАПРАВЛЕНИЯ РЕАЛИЗАЦИИ ПОДПРОГРАММЫ 3 «ПОДГОТОВКА КАДРОВ ДЛЯ ФАРМАЦЕВ</w:t>
      </w:r>
      <w:r>
        <w:t>ТИЧЕСКОЙ ОТРАСЛИ»</w:t>
      </w:r>
    </w:p>
    <w:p w:rsidR="00000000" w:rsidRDefault="0005338A">
      <w:pPr>
        <w:pStyle w:val="newncpi"/>
        <w:divId w:val="112020439"/>
      </w:pPr>
      <w:r>
        <w:t>Основной задачей мероприятий подпрограммы 3 «Подготовка кадров для фармацевтической отрасли» является комплексная подготовка кадров для фармацевтической отрасли в соответствии с текущими потребностями фармацевтического сектора экономики.</w:t>
      </w:r>
    </w:p>
    <w:p w:rsidR="00000000" w:rsidRDefault="0005338A">
      <w:pPr>
        <w:pStyle w:val="newncpi"/>
        <w:divId w:val="112020439"/>
      </w:pPr>
      <w:r>
        <w:lastRenderedPageBreak/>
        <w:t>Для решения этой задачи имеются необходимая материально-техническая база и научно-педагогический потенциал. Белорусским государственным медицинским университетом (далее – БГМУ) обеспечивается подготовка специалистов в области разработки оригинальных и гене</w:t>
      </w:r>
      <w:r>
        <w:t xml:space="preserve">рических лекарственных средств с использованием методов биотехнологии и органического синтеза, регистрации и продвижения лекарственных средств на внешнем и внутреннем рынках, контроля качества на всех этапах жизненного цикла лекарственных средств, оптовой </w:t>
      </w:r>
      <w:r>
        <w:t>и розничной реализации, фармацевтического маркетинга и менеджмента.</w:t>
      </w:r>
    </w:p>
    <w:p w:rsidR="00000000" w:rsidRDefault="0005338A">
      <w:pPr>
        <w:pStyle w:val="newncpi"/>
        <w:divId w:val="112020439"/>
      </w:pPr>
      <w:r>
        <w:t>Открытие в 2011 году фармацевтического факультета на базе БГМУ позволило осуществлять подготовку высококвалифицированных специалистов современного уровня, знающих взаимосвязь химической ст</w:t>
      </w:r>
      <w:r>
        <w:t>руктуры и технологии получения лекарственных средств с их безопасностью, биодоступностью и терапевтической эффективностью, умеющих прогнозировать фармакологическое действие в зависимости от вспомогательных веществ, лекарственной формы, дозирования, способа</w:t>
      </w:r>
      <w:r>
        <w:t xml:space="preserve"> применения.</w:t>
      </w:r>
    </w:p>
    <w:p w:rsidR="00000000" w:rsidRDefault="0005338A">
      <w:pPr>
        <w:pStyle w:val="newncpi"/>
        <w:divId w:val="112020439"/>
      </w:pPr>
      <w:r>
        <w:t>В целях повышения качества подготовки кадров для фармацевтической отрасли оборудованы лабораторные практикумы, на выпускном курсе фармацевтического факультета внедрена дифференцированная подготовка специалистов по направлениям «Фармацевтическа</w:t>
      </w:r>
      <w:r>
        <w:t>я разработка», «Фармацевтическая биотехнология», «Управление фармацевтическим предприятием». Кроме того, учебные занятия проходят на базе крупнейших фармацевтических предприятий отрасли – РУП «Белмедпрепараты», ОАО «БЗМП», ООО «Фармтехнология», СОАО «Ферей</w:t>
      </w:r>
      <w:r>
        <w:t>н», НПК «Биотест» и других.</w:t>
      </w:r>
    </w:p>
    <w:p w:rsidR="00000000" w:rsidRDefault="0005338A">
      <w:pPr>
        <w:pStyle w:val="newncpi"/>
        <w:divId w:val="112020439"/>
      </w:pPr>
      <w:r>
        <w:t>За счет бюджетных средств заканчивается строительство здания для фармацевтического факультета БГМУ.</w:t>
      </w:r>
    </w:p>
    <w:p w:rsidR="00000000" w:rsidRDefault="0005338A">
      <w:pPr>
        <w:pStyle w:val="newncpi"/>
        <w:divId w:val="112020439"/>
      </w:pPr>
      <w:r>
        <w:t>В настоящее время на фармацевтическом факультете БГМУ обучается 490 студентов в дневной и 291 – в заочной форме получения образо</w:t>
      </w:r>
      <w:r>
        <w:t>вания, ежегодно повышают квалификацию около 300 специалистов фармацевтической отрасли.</w:t>
      </w:r>
    </w:p>
    <w:p w:rsidR="00000000" w:rsidRDefault="0005338A">
      <w:pPr>
        <w:pStyle w:val="newncpi"/>
        <w:divId w:val="112020439"/>
      </w:pPr>
      <w:r>
        <w:t>Вместе с тем необходимо провести работу по совершенствованию научного и учебно-методического обеспечения образовательного процесса, повышению качества подготовки специал</w:t>
      </w:r>
      <w:r>
        <w:t>истов для фармацевтической промышленности и аптечной службы, обновлению материально-технической базы для приведения ее в соответствие с мировыми стандартами.</w:t>
      </w:r>
    </w:p>
    <w:p w:rsidR="00000000" w:rsidRDefault="0005338A">
      <w:pPr>
        <w:pStyle w:val="newncpi"/>
        <w:divId w:val="112020439"/>
      </w:pPr>
      <w:r>
        <w:t>Мероприятия по реализации подпрограммы 3 «Подготовка кадров для фармацевтической отрасли» приведен</w:t>
      </w:r>
      <w:r>
        <w:t xml:space="preserve">ы в </w:t>
      </w:r>
      <w:hyperlink w:anchor="a7" w:tooltip="+" w:history="1">
        <w:r>
          <w:rPr>
            <w:rStyle w:val="a3"/>
          </w:rPr>
          <w:t>приложении 4</w:t>
        </w:r>
      </w:hyperlink>
      <w:r>
        <w:t xml:space="preserve"> к Государственной программе.</w:t>
      </w:r>
    </w:p>
    <w:p w:rsidR="00000000" w:rsidRDefault="0005338A">
      <w:pPr>
        <w:pStyle w:val="newncpi"/>
        <w:divId w:val="112020439"/>
      </w:pPr>
      <w:r>
        <w:t> </w:t>
      </w:r>
    </w:p>
    <w:p w:rsidR="00000000" w:rsidRDefault="0005338A">
      <w:pPr>
        <w:pStyle w:val="newncpi0"/>
        <w:divId w:val="11202043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8"/>
        <w:gridCol w:w="6114"/>
      </w:tblGrid>
      <w:tr w:rsidR="00000000">
        <w:trPr>
          <w:divId w:val="112020439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append1"/>
            </w:pPr>
            <w:bookmarkStart w:id="6" w:name="a4"/>
            <w:bookmarkEnd w:id="6"/>
            <w:r>
              <w:t>Приложение 1</w:t>
            </w:r>
          </w:p>
          <w:p w:rsidR="00000000" w:rsidRDefault="0005338A">
            <w:pPr>
              <w:pStyle w:val="append"/>
            </w:pPr>
            <w:r>
              <w:t xml:space="preserve">к Государственной </w:t>
            </w:r>
            <w:hyperlink w:anchor="a3" w:tooltip="+" w:history="1">
              <w:r>
                <w:rPr>
                  <w:rStyle w:val="a3"/>
                </w:rPr>
                <w:t>программе</w:t>
              </w:r>
            </w:hyperlink>
            <w:r>
              <w:t xml:space="preserve"> </w:t>
            </w:r>
            <w:r>
              <w:br/>
              <w:t xml:space="preserve">развития фармацевтической </w:t>
            </w:r>
            <w:r>
              <w:br/>
              <w:t xml:space="preserve">промышленности Республики Беларусь </w:t>
            </w:r>
            <w:r>
              <w:br/>
              <w:t xml:space="preserve">на 2016–2020 годы </w:t>
            </w:r>
            <w:r>
              <w:br/>
              <w:t>(в редакции пост</w:t>
            </w:r>
            <w:r>
              <w:t xml:space="preserve">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11.12.2018 № 891) </w:t>
            </w:r>
          </w:p>
        </w:tc>
      </w:tr>
    </w:tbl>
    <w:p w:rsidR="00000000" w:rsidRDefault="0005338A">
      <w:pPr>
        <w:pStyle w:val="titlep"/>
        <w:jc w:val="left"/>
        <w:divId w:val="112020439"/>
      </w:pPr>
      <w:r>
        <w:lastRenderedPageBreak/>
        <w:t xml:space="preserve">Сводные целевые показатели Государственной </w:t>
      </w:r>
      <w:hyperlink w:anchor="a3" w:tooltip="+" w:history="1">
        <w:r>
          <w:rPr>
            <w:rStyle w:val="a3"/>
          </w:rPr>
          <w:t>программы</w:t>
        </w:r>
      </w:hyperlink>
      <w:r>
        <w:t xml:space="preserve"> и целевые показатели подпрограмм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8"/>
        <w:gridCol w:w="1387"/>
        <w:gridCol w:w="755"/>
        <w:gridCol w:w="755"/>
        <w:gridCol w:w="758"/>
        <w:gridCol w:w="755"/>
        <w:gridCol w:w="674"/>
      </w:tblGrid>
      <w:tr w:rsidR="00000000">
        <w:trPr>
          <w:divId w:val="112020439"/>
          <w:trHeight w:val="238"/>
        </w:trPr>
        <w:tc>
          <w:tcPr>
            <w:tcW w:w="323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2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Значение показателя по год</w:t>
            </w:r>
            <w:r>
              <w:t>ам</w:t>
            </w:r>
          </w:p>
        </w:tc>
      </w:tr>
      <w:tr w:rsidR="00000000">
        <w:trPr>
          <w:divId w:val="112020439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2016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2017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2018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2019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2020</w:t>
            </w:r>
          </w:p>
        </w:tc>
      </w:tr>
      <w:tr w:rsidR="00000000">
        <w:trPr>
          <w:divId w:val="112020439"/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 xml:space="preserve">Государственная </w:t>
            </w:r>
            <w:hyperlink w:anchor="a3" w:tooltip="+" w:history="1">
              <w:r>
                <w:rPr>
                  <w:rStyle w:val="a3"/>
                </w:rPr>
                <w:t>программа</w:t>
              </w:r>
            </w:hyperlink>
            <w:r>
              <w:t xml:space="preserve"> развития фармацевтической промышленности Республики Беларусь на 2016–2020 годы (ответственный заказчик – Министерство здравоохранения)</w:t>
            </w:r>
          </w:p>
        </w:tc>
      </w:tr>
      <w:tr w:rsidR="00000000">
        <w:trPr>
          <w:divId w:val="112020439"/>
          <w:trHeight w:val="238"/>
        </w:trPr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 xml:space="preserve">1. Доля отечественных лекарственных средств на внутреннем рынке в стоимостном выражении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процентов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55</w:t>
            </w:r>
          </w:p>
        </w:tc>
      </w:tr>
      <w:tr w:rsidR="00000000">
        <w:trPr>
          <w:divId w:val="112020439"/>
          <w:trHeight w:val="238"/>
        </w:trPr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 xml:space="preserve">2. Удельный вес экспорта лекарственных средств в общем объеме производства лекарственных средств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40</w:t>
            </w:r>
          </w:p>
        </w:tc>
      </w:tr>
      <w:tr w:rsidR="00000000">
        <w:trPr>
          <w:divId w:val="112020439"/>
          <w:trHeight w:val="23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hyperlink w:anchor="a17" w:tooltip="+" w:history="1">
              <w:r>
                <w:rPr>
                  <w:rStyle w:val="a3"/>
                </w:rPr>
                <w:t>Подпрограмма 1</w:t>
              </w:r>
            </w:hyperlink>
            <w:r>
              <w:t xml:space="preserve"> «Разработка и производство новых лекарственных средств» (заказчики – Министерство здравоохранения, Национальная академия наук Беларуси)</w:t>
            </w:r>
          </w:p>
        </w:tc>
      </w:tr>
      <w:tr w:rsidR="00000000">
        <w:trPr>
          <w:divId w:val="112020439"/>
          <w:trHeight w:val="238"/>
        </w:trPr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 xml:space="preserve">3. Доля отечественных лекарственных средств на внутреннем рынке в стоимостном выражении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процентов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55</w:t>
            </w:r>
          </w:p>
        </w:tc>
      </w:tr>
      <w:tr w:rsidR="00000000">
        <w:trPr>
          <w:divId w:val="112020439"/>
          <w:trHeight w:val="23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hyperlink w:anchor="a18" w:tooltip="+" w:history="1">
              <w:r>
                <w:rPr>
                  <w:rStyle w:val="a3"/>
                </w:rPr>
                <w:t>Подпрограмма 2</w:t>
              </w:r>
            </w:hyperlink>
            <w:r>
              <w:t xml:space="preserve"> «Нормативная правовая база» (заказчик – Министерство здравоохранения)</w:t>
            </w:r>
          </w:p>
        </w:tc>
      </w:tr>
      <w:tr w:rsidR="00000000">
        <w:trPr>
          <w:divId w:val="112020439"/>
          <w:trHeight w:val="238"/>
        </w:trPr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4. Количество разработанных нормативных правовых актов, инструкций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единиц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</w:t>
            </w:r>
          </w:p>
        </w:tc>
      </w:tr>
      <w:tr w:rsidR="00000000">
        <w:trPr>
          <w:divId w:val="112020439"/>
          <w:trHeight w:val="23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hyperlink w:anchor="a19" w:tooltip="+" w:history="1">
              <w:r>
                <w:rPr>
                  <w:rStyle w:val="a3"/>
                </w:rPr>
                <w:t>Подпрограмма 3</w:t>
              </w:r>
            </w:hyperlink>
            <w:r>
              <w:t xml:space="preserve"> «Подготовка кадров для фармацевтической отрасли» (заказчик – Министерство здравоохранения)</w:t>
            </w:r>
          </w:p>
        </w:tc>
      </w:tr>
      <w:tr w:rsidR="00000000">
        <w:trPr>
          <w:divId w:val="112020439"/>
          <w:trHeight w:val="238"/>
        </w:trPr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 xml:space="preserve">5. Количество переоснащенных учебных лабораторий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единиц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38"/>
        </w:trPr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6. Количество специалистов фармацевтическо</w:t>
            </w:r>
            <w:r>
              <w:t xml:space="preserve">й отрасли, прошедших переобучение (повышение квалификации)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человек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38"/>
        </w:trPr>
        <w:tc>
          <w:tcPr>
            <w:tcW w:w="323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 xml:space="preserve">7. Количество специалистов, подготовленных для фармацевтической отрасли на первой и второй ступенях высшего образования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</w:tbl>
    <w:p w:rsidR="00000000" w:rsidRDefault="0005338A">
      <w:pPr>
        <w:divId w:val="11202043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12020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rFonts w:eastAsia="Times New Roman"/>
              </w:rPr>
            </w:pPr>
          </w:p>
        </w:tc>
      </w:tr>
    </w:tbl>
    <w:p w:rsidR="00000000" w:rsidRDefault="0005338A">
      <w:pPr>
        <w:divId w:val="11202043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12020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05338A">
      <w:pPr>
        <w:divId w:val="11202043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12020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05338A">
      <w:pPr>
        <w:divId w:val="11202043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12020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05338A">
      <w:pPr>
        <w:pStyle w:val="newncpi"/>
        <w:divId w:val="11202043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7"/>
        <w:gridCol w:w="4805"/>
      </w:tblGrid>
      <w:tr w:rsidR="00000000">
        <w:trPr>
          <w:divId w:val="112020439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newncpi"/>
            </w:pPr>
            <w: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append1"/>
            </w:pPr>
            <w:bookmarkStart w:id="7" w:name="a5"/>
            <w:bookmarkEnd w:id="7"/>
            <w:r>
              <w:t>Приложение 2</w:t>
            </w:r>
          </w:p>
          <w:p w:rsidR="00000000" w:rsidRDefault="0005338A">
            <w:pPr>
              <w:pStyle w:val="append"/>
            </w:pPr>
            <w:r>
              <w:t xml:space="preserve">к Государственной </w:t>
            </w:r>
            <w:hyperlink w:anchor="a3" w:tooltip="+" w:history="1">
              <w:r>
                <w:rPr>
                  <w:rStyle w:val="a3"/>
                </w:rPr>
                <w:t>программе</w:t>
              </w:r>
            </w:hyperlink>
            <w:r>
              <w:t xml:space="preserve"> </w:t>
            </w:r>
            <w:r>
              <w:br/>
              <w:t xml:space="preserve">развития фармацевтической </w:t>
            </w:r>
            <w:r>
              <w:br/>
            </w:r>
            <w:r>
              <w:lastRenderedPageBreak/>
              <w:t xml:space="preserve">промышленности Республики </w:t>
            </w:r>
            <w:r>
              <w:br/>
              <w:t xml:space="preserve">Беларусь на 2016–2020 годы </w:t>
            </w:r>
          </w:p>
        </w:tc>
      </w:tr>
    </w:tbl>
    <w:p w:rsidR="00000000" w:rsidRDefault="0005338A">
      <w:pPr>
        <w:pStyle w:val="titlep"/>
        <w:jc w:val="left"/>
        <w:divId w:val="112020439"/>
      </w:pPr>
      <w:r>
        <w:lastRenderedPageBreak/>
        <w:t xml:space="preserve">Сведения о порядке сбора информации и методике расчета сводных целевых показателей Государственной </w:t>
      </w:r>
      <w:hyperlink w:anchor="a3" w:tooltip="+" w:history="1">
        <w:r>
          <w:rPr>
            <w:rStyle w:val="a3"/>
          </w:rPr>
          <w:t>программы</w:t>
        </w:r>
      </w:hyperlink>
      <w:r>
        <w:t>, целевых показателей подпрограмм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943"/>
        <w:gridCol w:w="1807"/>
        <w:gridCol w:w="1660"/>
        <w:gridCol w:w="2142"/>
        <w:gridCol w:w="2392"/>
        <w:gridCol w:w="1701"/>
        <w:gridCol w:w="1626"/>
      </w:tblGrid>
      <w:tr w:rsidR="00000000">
        <w:trPr>
          <w:divId w:val="112020439"/>
          <w:trHeight w:val="240"/>
        </w:trPr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Определение показателя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Временные характеристики показателя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Алгоритм формирования (формула) и методологические пояснения к показателю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Показатели, использ</w:t>
            </w:r>
            <w:r>
              <w:t>уемые в формуле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Метод сбора информации, индекс формы отчетности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Ответственный за сбор данных по показателю</w:t>
            </w:r>
          </w:p>
        </w:tc>
      </w:tr>
      <w:tr w:rsidR="00000000">
        <w:trPr>
          <w:divId w:val="112020439"/>
          <w:trHeight w:val="240"/>
        </w:trPr>
        <w:tc>
          <w:tcPr>
            <w:tcW w:w="74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1. Доля отечественных лекарственных средств на внутреннем рынке в стоимостном выражении (сводный целевой показатель)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процентов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объем белорусских лек</w:t>
            </w:r>
            <w:r>
              <w:t>арственных средств в общем объеме лекарственных средств на внутреннем рынке в стоимостном выражении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ежеквартально за отчетный период нарастающим итогом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Д</w:t>
            </w:r>
            <w:r>
              <w:rPr>
                <w:vertAlign w:val="subscript"/>
              </w:rPr>
              <w:t>от</w:t>
            </w:r>
            <w:r>
              <w:t xml:space="preserve"> = (О</w:t>
            </w:r>
            <w:r>
              <w:rPr>
                <w:vertAlign w:val="subscript"/>
              </w:rPr>
              <w:t>от</w:t>
            </w:r>
            <w:r>
              <w:t> – О</w:t>
            </w:r>
            <w:r>
              <w:rPr>
                <w:vertAlign w:val="subscript"/>
              </w:rPr>
              <w:t>эксп</w:t>
            </w:r>
            <w:r>
              <w:t>) / (О</w:t>
            </w:r>
            <w:r>
              <w:rPr>
                <w:vertAlign w:val="subscript"/>
              </w:rPr>
              <w:t>от</w:t>
            </w:r>
            <w:r>
              <w:t xml:space="preserve"> – </w:t>
            </w:r>
            <w:r>
              <w:br/>
              <w:t>О</w:t>
            </w:r>
            <w:r>
              <w:rPr>
                <w:vertAlign w:val="subscript"/>
              </w:rPr>
              <w:t>эксп</w:t>
            </w:r>
            <w:r>
              <w:t xml:space="preserve"> + О</w:t>
            </w:r>
            <w:r>
              <w:rPr>
                <w:vertAlign w:val="subscript"/>
              </w:rPr>
              <w:t>имп</w:t>
            </w:r>
            <w:r>
              <w:t> – О</w:t>
            </w:r>
            <w:r>
              <w:rPr>
                <w:vertAlign w:val="subscript"/>
              </w:rPr>
              <w:t>реэксп</w:t>
            </w:r>
            <w:r>
              <w:t xml:space="preserve"> – </w:t>
            </w:r>
            <w:r>
              <w:br/>
              <w:t>О</w:t>
            </w:r>
            <w:r>
              <w:rPr>
                <w:vertAlign w:val="subscript"/>
              </w:rPr>
              <w:t>тс</w:t>
            </w:r>
            <w:r>
              <w:t> – О</w:t>
            </w:r>
            <w:r>
              <w:rPr>
                <w:vertAlign w:val="subscript"/>
              </w:rPr>
              <w:t>фс</w:t>
            </w:r>
            <w:r>
              <w:t>) х 100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О</w:t>
            </w:r>
            <w:r>
              <w:rPr>
                <w:vertAlign w:val="subscript"/>
              </w:rPr>
              <w:t>от</w:t>
            </w:r>
            <w:r>
              <w:t> – объем производства органи</w:t>
            </w:r>
            <w:r>
              <w:t>зациями лекарственных средств в стоимостном выражении, тыс. долларов США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периодическая отчетность, административная информация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Белстат, Минздрав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О</w:t>
            </w:r>
            <w:r>
              <w:rPr>
                <w:vertAlign w:val="subscript"/>
              </w:rPr>
              <w:t>эксп</w:t>
            </w:r>
            <w:r>
              <w:t> </w:t>
            </w:r>
            <w:r>
              <w:t xml:space="preserve">– объем экспорта лекарственных средств, страной происхождения которых является Республика Беларусь, по отдельным кодам </w:t>
            </w:r>
            <w:hyperlink r:id="rId21" w:anchor="a11" w:tooltip="+" w:history="1">
              <w:r>
                <w:rPr>
                  <w:rStyle w:val="a3"/>
                </w:rPr>
                <w:t>ТН</w:t>
              </w:r>
            </w:hyperlink>
            <w:r>
              <w:t xml:space="preserve"> ВЭД ТС, тыс. долларов США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периодическая отчетность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Белстат</w:t>
            </w:r>
          </w:p>
        </w:tc>
      </w:tr>
      <w:tr w:rsidR="00000000">
        <w:trPr>
          <w:divId w:val="112020439"/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О</w:t>
            </w:r>
            <w:r>
              <w:rPr>
                <w:vertAlign w:val="subscript"/>
              </w:rPr>
              <w:t>имп</w:t>
            </w:r>
            <w:r>
              <w:t> – объем</w:t>
            </w:r>
            <w:r>
              <w:t xml:space="preserve"> импорта лекарственных средств по отдельным кодам </w:t>
            </w:r>
            <w:hyperlink r:id="rId22" w:anchor="a11" w:tooltip="+" w:history="1">
              <w:r>
                <w:rPr>
                  <w:rStyle w:val="a3"/>
                </w:rPr>
                <w:t>ТН</w:t>
              </w:r>
            </w:hyperlink>
            <w:r>
              <w:t xml:space="preserve"> ВЭД ТС, тыс. долларов США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00000">
        <w:trPr>
          <w:divId w:val="112020439"/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О</w:t>
            </w:r>
            <w:r>
              <w:rPr>
                <w:vertAlign w:val="subscript"/>
              </w:rPr>
              <w:t>реэксп</w:t>
            </w:r>
            <w:r>
              <w:t> – объем экспорта лекарственных средств, страной происхождения которых не является Республика Беларусь</w:t>
            </w:r>
            <w:r>
              <w:t xml:space="preserve">, по отдельным кодам </w:t>
            </w:r>
            <w:hyperlink r:id="rId23" w:anchor="a11" w:tooltip="+" w:history="1">
              <w:r>
                <w:rPr>
                  <w:rStyle w:val="a3"/>
                </w:rPr>
                <w:t>ТН</w:t>
              </w:r>
            </w:hyperlink>
            <w:r>
              <w:t xml:space="preserve"> ВЭД ТС, тыс. долларов США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00000">
        <w:trPr>
          <w:divId w:val="112020439"/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О</w:t>
            </w:r>
            <w:r>
              <w:rPr>
                <w:vertAlign w:val="subscript"/>
              </w:rPr>
              <w:t>тс</w:t>
            </w:r>
            <w:r>
              <w:t xml:space="preserve"> – объем импорта лекарственных средств, оплата за которые не предусмотрена по отдельным кодам </w:t>
            </w:r>
            <w:hyperlink r:id="rId24" w:anchor="a11" w:tooltip="+" w:history="1">
              <w:r>
                <w:rPr>
                  <w:rStyle w:val="a3"/>
                </w:rPr>
                <w:t>ТН</w:t>
              </w:r>
            </w:hyperlink>
            <w:r>
              <w:t xml:space="preserve"> ВЭД ТС, тыс. долларов США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ГТК</w:t>
            </w:r>
          </w:p>
        </w:tc>
      </w:tr>
      <w:tr w:rsidR="00000000">
        <w:trPr>
          <w:divId w:val="112020439"/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О</w:t>
            </w:r>
            <w:r>
              <w:rPr>
                <w:vertAlign w:val="subscript"/>
              </w:rPr>
              <w:t>фс</w:t>
            </w:r>
            <w:r>
              <w:t xml:space="preserve"> – объем финансовых </w:t>
            </w:r>
            <w:r>
              <w:lastRenderedPageBreak/>
              <w:t xml:space="preserve">скидок, полученных в виде кредит-нот за импортируемые лекарственные средства, по отдельным кодам </w:t>
            </w:r>
            <w:hyperlink r:id="rId25" w:anchor="a11" w:tooltip="+" w:history="1">
              <w:r>
                <w:rPr>
                  <w:rStyle w:val="a3"/>
                </w:rPr>
                <w:t>ТН</w:t>
              </w:r>
            </w:hyperlink>
            <w:r>
              <w:t xml:space="preserve"> ВЭД ТС, тыс. долларов США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lastRenderedPageBreak/>
              <w:t xml:space="preserve">административная </w:t>
            </w:r>
            <w:r>
              <w:lastRenderedPageBreak/>
              <w:t>информация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lastRenderedPageBreak/>
              <w:t>Минздрав</w:t>
            </w:r>
          </w:p>
        </w:tc>
      </w:tr>
      <w:tr w:rsidR="00000000">
        <w:trPr>
          <w:divId w:val="112020439"/>
          <w:trHeight w:val="240"/>
        </w:trPr>
        <w:tc>
          <w:tcPr>
            <w:tcW w:w="74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lastRenderedPageBreak/>
              <w:t>2. Удельный вес экспорта лекарственных средств в общем объеме производства лекарственных средств (сводный целевой показатель)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62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 xml:space="preserve">объем экспорта лекарственных средств в общем </w:t>
            </w:r>
            <w:r>
              <w:t xml:space="preserve">объеме производства лекарственных средств Республики Беларусь 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У = О</w:t>
            </w:r>
            <w:r>
              <w:rPr>
                <w:vertAlign w:val="subscript"/>
              </w:rPr>
              <w:t>эксп</w:t>
            </w:r>
            <w:r>
              <w:t xml:space="preserve"> / О</w:t>
            </w:r>
            <w:r>
              <w:rPr>
                <w:vertAlign w:val="subscript"/>
              </w:rPr>
              <w:t>лс</w:t>
            </w:r>
            <w:r>
              <w:t xml:space="preserve"> х 100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О</w:t>
            </w:r>
            <w:r>
              <w:rPr>
                <w:vertAlign w:val="subscript"/>
              </w:rPr>
              <w:t>эксп</w:t>
            </w:r>
            <w:r>
              <w:t> – объем экспорта лекарственных средств, тыс. долларов США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периодическая отчетность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Белстат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О</w:t>
            </w:r>
            <w:r>
              <w:rPr>
                <w:vertAlign w:val="subscript"/>
              </w:rPr>
              <w:t>лс</w:t>
            </w:r>
            <w:r>
              <w:t> </w:t>
            </w:r>
            <w:r>
              <w:t>– объем производства лекарственных средств Республики Беларусь, тыс. долларов США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00000">
        <w:trPr>
          <w:divId w:val="112020439"/>
          <w:trHeight w:val="240"/>
        </w:trPr>
        <w:tc>
          <w:tcPr>
            <w:tcW w:w="74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 xml:space="preserve">3. Доля отечественных лекарственных средств на внутреннем рынке в стоимостном выражении (целевой показатель по </w:t>
            </w:r>
            <w:hyperlink w:anchor="a17" w:tooltip="+" w:history="1">
              <w:r>
                <w:rPr>
                  <w:rStyle w:val="a3"/>
                </w:rPr>
                <w:t>подпрограмме 1</w:t>
              </w:r>
            </w:hyperlink>
            <w:r>
              <w:t>)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62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объем б</w:t>
            </w:r>
            <w:r>
              <w:t>елорусских лекарственных средств в общем объеме лекарственных средств на внутреннем рынке в стоимостном выражении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Д</w:t>
            </w:r>
            <w:r>
              <w:rPr>
                <w:vertAlign w:val="subscript"/>
              </w:rPr>
              <w:t>от</w:t>
            </w:r>
            <w:r>
              <w:t xml:space="preserve"> = (О</w:t>
            </w:r>
            <w:r>
              <w:rPr>
                <w:vertAlign w:val="subscript"/>
              </w:rPr>
              <w:t>от</w:t>
            </w:r>
            <w:r>
              <w:t> – О</w:t>
            </w:r>
            <w:r>
              <w:rPr>
                <w:vertAlign w:val="subscript"/>
              </w:rPr>
              <w:t>эксп</w:t>
            </w:r>
            <w:r>
              <w:t>) / (О</w:t>
            </w:r>
            <w:r>
              <w:rPr>
                <w:vertAlign w:val="subscript"/>
              </w:rPr>
              <w:t>от</w:t>
            </w:r>
            <w:r>
              <w:t xml:space="preserve"> – </w:t>
            </w:r>
            <w:r>
              <w:br/>
              <w:t>О</w:t>
            </w:r>
            <w:r>
              <w:rPr>
                <w:vertAlign w:val="subscript"/>
              </w:rPr>
              <w:t>эксп</w:t>
            </w:r>
            <w:r>
              <w:t xml:space="preserve"> + О</w:t>
            </w:r>
            <w:r>
              <w:rPr>
                <w:vertAlign w:val="subscript"/>
              </w:rPr>
              <w:t>имп</w:t>
            </w:r>
            <w:r>
              <w:t xml:space="preserve"> – </w:t>
            </w:r>
            <w:r>
              <w:br/>
              <w:t>О</w:t>
            </w:r>
            <w:r>
              <w:rPr>
                <w:vertAlign w:val="subscript"/>
              </w:rPr>
              <w:t>реэксп</w:t>
            </w:r>
            <w:r>
              <w:t> – О</w:t>
            </w:r>
            <w:r>
              <w:rPr>
                <w:vertAlign w:val="subscript"/>
              </w:rPr>
              <w:t>тс</w:t>
            </w:r>
            <w:r>
              <w:t> – О</w:t>
            </w:r>
            <w:r>
              <w:rPr>
                <w:vertAlign w:val="subscript"/>
              </w:rPr>
              <w:t>фс</w:t>
            </w:r>
            <w:r>
              <w:t>) х 100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О</w:t>
            </w:r>
            <w:r>
              <w:rPr>
                <w:vertAlign w:val="subscript"/>
              </w:rPr>
              <w:t>от</w:t>
            </w:r>
            <w:r>
              <w:t> – объем производства организациями лекарственных средств в стои</w:t>
            </w:r>
            <w:r>
              <w:t>мостном выражении, тыс. долларов США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периодическая отчетность, административная информация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Белстат, Минздрав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О</w:t>
            </w:r>
            <w:r>
              <w:rPr>
                <w:vertAlign w:val="subscript"/>
              </w:rPr>
              <w:t>эксп</w:t>
            </w:r>
            <w:r>
              <w:t xml:space="preserve"> – объем экспорта лекарственных средств, страной происхождения которых является Республика Беларусь, по отдельным кодам </w:t>
            </w:r>
            <w:hyperlink r:id="rId26" w:anchor="a11" w:tooltip="+" w:history="1">
              <w:r>
                <w:rPr>
                  <w:rStyle w:val="a3"/>
                </w:rPr>
                <w:t>ТН</w:t>
              </w:r>
            </w:hyperlink>
            <w:r>
              <w:t xml:space="preserve"> ВЭД ТС, тыс. долларов США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периодическая отчетность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Белстат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О</w:t>
            </w:r>
            <w:r>
              <w:rPr>
                <w:vertAlign w:val="subscript"/>
              </w:rPr>
              <w:t>имп</w:t>
            </w:r>
            <w:r>
              <w:t xml:space="preserve"> – объем импорта лекарственных средств по отдельным кодам </w:t>
            </w:r>
            <w:hyperlink r:id="rId27" w:anchor="a11" w:tooltip="+" w:history="1">
              <w:r>
                <w:rPr>
                  <w:rStyle w:val="a3"/>
                </w:rPr>
                <w:t>ТН</w:t>
              </w:r>
            </w:hyperlink>
            <w:r>
              <w:t xml:space="preserve"> ВЭД ТС, тыс. </w:t>
            </w:r>
            <w:r>
              <w:t>долларов США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00000">
        <w:trPr>
          <w:divId w:val="112020439"/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О</w:t>
            </w:r>
            <w:r>
              <w:rPr>
                <w:vertAlign w:val="subscript"/>
              </w:rPr>
              <w:t>реэксп</w:t>
            </w:r>
            <w:r>
              <w:t xml:space="preserve"> – объем экспорта лекарственных средств, страной происхождения которых не является Республика Беларусь, по отдельным кодам </w:t>
            </w:r>
            <w:hyperlink r:id="rId28" w:anchor="a11" w:tooltip="+" w:history="1">
              <w:r>
                <w:rPr>
                  <w:rStyle w:val="a3"/>
                </w:rPr>
                <w:t>ТН</w:t>
              </w:r>
            </w:hyperlink>
            <w:r>
              <w:t xml:space="preserve"> ВЭД ТС, тыс. долларов США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00000">
        <w:trPr>
          <w:divId w:val="112020439"/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О</w:t>
            </w:r>
            <w:r>
              <w:rPr>
                <w:vertAlign w:val="subscript"/>
              </w:rPr>
              <w:t>тс</w:t>
            </w:r>
            <w:r>
              <w:t xml:space="preserve"> – объем импорта лекарственных средств, оплата за которые не предусмотрена по отдельным кодам </w:t>
            </w:r>
            <w:hyperlink r:id="rId29" w:anchor="a11" w:tooltip="+" w:history="1">
              <w:r>
                <w:rPr>
                  <w:rStyle w:val="a3"/>
                </w:rPr>
                <w:t>ТН</w:t>
              </w:r>
            </w:hyperlink>
            <w:r>
              <w:t xml:space="preserve"> ВЭД ТС, тыс. долларов США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ГТК</w:t>
            </w:r>
          </w:p>
        </w:tc>
      </w:tr>
      <w:tr w:rsidR="00000000">
        <w:trPr>
          <w:divId w:val="112020439"/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О</w:t>
            </w:r>
            <w:r>
              <w:rPr>
                <w:vertAlign w:val="subscript"/>
              </w:rPr>
              <w:t>фс</w:t>
            </w:r>
            <w:r>
              <w:t> – объем финансовых скидок, полученных в виде кредит-нот з</w:t>
            </w:r>
            <w:r>
              <w:t xml:space="preserve">а импортируемые лекарственные средства, по отдельным кодам </w:t>
            </w:r>
            <w:hyperlink r:id="rId30" w:anchor="a11" w:tooltip="+" w:history="1">
              <w:r>
                <w:rPr>
                  <w:rStyle w:val="a3"/>
                </w:rPr>
                <w:t>ТН</w:t>
              </w:r>
            </w:hyperlink>
            <w:r>
              <w:t xml:space="preserve"> ВЭД ТС, тыс. долларов США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административная информация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Минздрав</w:t>
            </w:r>
          </w:p>
        </w:tc>
      </w:tr>
      <w:tr w:rsidR="00000000">
        <w:trPr>
          <w:divId w:val="112020439"/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4. Количество разработанных нормативных правовых актов, инструкций (целевой п</w:t>
            </w:r>
            <w:r>
              <w:t xml:space="preserve">оказатель по </w:t>
            </w:r>
            <w:hyperlink w:anchor="a18" w:tooltip="+" w:history="1">
              <w:r>
                <w:rPr>
                  <w:rStyle w:val="a3"/>
                </w:rPr>
                <w:t>подпрограмме 2</w:t>
              </w:r>
            </w:hyperlink>
            <w:r>
              <w:t>)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единиц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 xml:space="preserve">количество разработанных нормативных правовых актов, инструкций 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два раза в год (по итогам первого полугодия – до 31 июля текущего года, по итогам года – до 25 </w:t>
            </w:r>
            <w:r>
              <w:t>января следующего за отчетным года)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n</w:t>
            </w:r>
            <w:r>
              <w:rPr>
                <w:vertAlign w:val="subscript"/>
              </w:rPr>
              <w:t>НПА</w:t>
            </w:r>
            <w:r>
              <w:t xml:space="preserve"> (определяется в соответствии с утвержденным в установленном порядке количеством)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n</w:t>
            </w:r>
            <w:r>
              <w:rPr>
                <w:vertAlign w:val="subscript"/>
              </w:rPr>
              <w:t>НПА</w:t>
            </w:r>
            <w:r>
              <w:t> – количество утвержденных нормативных правовых актов, инструкций (определяется как сумма n</w:t>
            </w:r>
            <w:r>
              <w:rPr>
                <w:vertAlign w:val="subscript"/>
              </w:rPr>
              <w:t>1</w:t>
            </w:r>
            <w:r>
              <w:t> – ТКП, n</w:t>
            </w:r>
            <w:r>
              <w:rPr>
                <w:vertAlign w:val="subscript"/>
              </w:rPr>
              <w:t>2</w:t>
            </w:r>
            <w:r>
              <w:t> – СТБ, n</w:t>
            </w:r>
            <w:r>
              <w:rPr>
                <w:vertAlign w:val="subscript"/>
              </w:rPr>
              <w:t>3</w:t>
            </w:r>
            <w:r>
              <w:t> – инструкций и др</w:t>
            </w:r>
            <w:r>
              <w:t>угого)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периодическая отчетность (форма Пр (Сводная)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00000">
        <w:trPr>
          <w:divId w:val="112020439"/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 xml:space="preserve">5. Количество переоснащенных учебных лабораторий (целевой показатель по </w:t>
            </w:r>
            <w:hyperlink w:anchor="a19" w:tooltip="+" w:history="1">
              <w:r>
                <w:rPr>
                  <w:rStyle w:val="a3"/>
                </w:rPr>
                <w:t>подпрограмме 3</w:t>
              </w:r>
            </w:hyperlink>
            <w:r>
              <w:t>)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количество переоснащенных учебных лабораторий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один раз в год (до 25 января сле</w:t>
            </w:r>
            <w:r>
              <w:t>дующего за отчетным года)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n (определяется в соответствии с утвержденным актом)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n – количество единиц в год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периодическая отчетность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00000">
        <w:trPr>
          <w:divId w:val="112020439"/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 xml:space="preserve">6. Количество специалистов фармацевтической отрасли, прошедших переобучение (повышение квалификации) (целевой показатель </w:t>
            </w:r>
            <w:r>
              <w:t xml:space="preserve">по </w:t>
            </w:r>
            <w:hyperlink w:anchor="a19" w:tooltip="+" w:history="1">
              <w:r>
                <w:rPr>
                  <w:rStyle w:val="a3"/>
                </w:rPr>
                <w:t>подпрограмме 3</w:t>
              </w:r>
            </w:hyperlink>
            <w:r>
              <w:t>)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человек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количество специалистов, прошедших переобучение (повышение квалификации)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n</w:t>
            </w:r>
            <w:r>
              <w:rPr>
                <w:vertAlign w:val="subscript"/>
              </w:rPr>
              <w:t>СП</w:t>
            </w:r>
            <w:r>
              <w:t xml:space="preserve"> (определяется в соответствии с выданным свидетельством, удостоверением, справкой)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n</w:t>
            </w:r>
            <w:r>
              <w:rPr>
                <w:vertAlign w:val="subscript"/>
              </w:rPr>
              <w:t>СП</w:t>
            </w:r>
            <w:r>
              <w:t> – количество человек в год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00000">
        <w:trPr>
          <w:divId w:val="112020439"/>
          <w:trHeight w:val="240"/>
        </w:trPr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 xml:space="preserve">7. Количество специалистов, подготовленных для фармацевтической отрасли на первой и второй ступенях высшего образования (целевой показатель по </w:t>
            </w:r>
            <w:hyperlink w:anchor="a19" w:tooltip="+" w:history="1">
              <w:r>
                <w:rPr>
                  <w:rStyle w:val="a3"/>
                </w:rPr>
                <w:t>подпрограмме 3</w:t>
              </w:r>
            </w:hyperlink>
            <w:r>
              <w:t>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количество подготовленных специалистов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n</w:t>
            </w:r>
            <w:r>
              <w:rPr>
                <w:vertAlign w:val="subscript"/>
              </w:rPr>
              <w:t>ВМ</w:t>
            </w:r>
            <w:r>
              <w:t xml:space="preserve"> </w:t>
            </w:r>
            <w:r>
              <w:t>(определяется в соответствии с выданным дипломом выпускника учреждения высшего образования или магистра)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n</w:t>
            </w:r>
            <w:r>
              <w:rPr>
                <w:vertAlign w:val="subscript"/>
              </w:rPr>
              <w:t>ВП</w:t>
            </w:r>
            <w:r>
              <w:t> – количество человек в год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</w:tbl>
    <w:p w:rsidR="00000000" w:rsidRDefault="0005338A">
      <w:pPr>
        <w:pStyle w:val="newncpi"/>
        <w:divId w:val="11202043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8"/>
        <w:gridCol w:w="4052"/>
      </w:tblGrid>
      <w:tr w:rsidR="00000000">
        <w:trPr>
          <w:divId w:val="112020439"/>
          <w:trHeight w:val="238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append1"/>
            </w:pPr>
            <w:bookmarkStart w:id="8" w:name="a6"/>
            <w:bookmarkEnd w:id="8"/>
            <w:r>
              <w:t>Приложение 3</w:t>
            </w:r>
          </w:p>
          <w:p w:rsidR="00000000" w:rsidRDefault="0005338A">
            <w:pPr>
              <w:pStyle w:val="append"/>
            </w:pPr>
            <w:r>
              <w:t xml:space="preserve">к Государственной </w:t>
            </w:r>
            <w:hyperlink w:anchor="a3" w:tooltip="+" w:history="1">
              <w:r>
                <w:rPr>
                  <w:rStyle w:val="a3"/>
                </w:rPr>
                <w:t>программе</w:t>
              </w:r>
            </w:hyperlink>
            <w:r>
              <w:t xml:space="preserve"> </w:t>
            </w:r>
            <w:r>
              <w:br/>
              <w:t xml:space="preserve">развития фармацевтической </w:t>
            </w:r>
            <w:r>
              <w:br/>
              <w:t>промышленн</w:t>
            </w:r>
            <w:r>
              <w:t xml:space="preserve">ости Республики </w:t>
            </w:r>
            <w:r>
              <w:br/>
              <w:t>Беларусь на 2016–2020 годы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 xml:space="preserve">12.11.2020 № 640) </w:t>
            </w:r>
          </w:p>
        </w:tc>
      </w:tr>
    </w:tbl>
    <w:p w:rsidR="00000000" w:rsidRDefault="0005338A">
      <w:pPr>
        <w:pStyle w:val="titlep"/>
        <w:jc w:val="left"/>
        <w:divId w:val="112020439"/>
      </w:pPr>
      <w:bookmarkStart w:id="9" w:name="a27"/>
      <w:bookmarkEnd w:id="9"/>
      <w:r>
        <w:t xml:space="preserve">Финансовое обеспечение Государственной </w:t>
      </w:r>
      <w:hyperlink w:anchor="a3" w:tooltip="+" w:history="1">
        <w:r>
          <w:rPr>
            <w:rStyle w:val="a3"/>
          </w:rPr>
          <w:t>программы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9"/>
        <w:gridCol w:w="3115"/>
        <w:gridCol w:w="9266"/>
        <w:gridCol w:w="7703"/>
        <w:gridCol w:w="1559"/>
        <w:gridCol w:w="1559"/>
        <w:gridCol w:w="1556"/>
        <w:gridCol w:w="1546"/>
      </w:tblGrid>
      <w:tr w:rsidR="00000000">
        <w:trPr>
          <w:divId w:val="112020439"/>
          <w:trHeight w:val="240"/>
        </w:trPr>
        <w:tc>
          <w:tcPr>
            <w:tcW w:w="11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Наименование подпрограмм (задач)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Источники финансирования</w:t>
            </w:r>
          </w:p>
        </w:tc>
        <w:tc>
          <w:tcPr>
            <w:tcW w:w="28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Объемы финансирования, рублей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2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в том числе по годам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2016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2017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2018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2019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2020</w:t>
            </w:r>
          </w:p>
        </w:tc>
      </w:tr>
      <w:tr w:rsidR="00000000">
        <w:trPr>
          <w:divId w:val="112020439"/>
          <w:trHeight w:val="240"/>
        </w:trPr>
        <w:tc>
          <w:tcPr>
            <w:tcW w:w="118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hyperlink w:anchor="a17" w:tooltip="+" w:history="1">
              <w:r>
                <w:rPr>
                  <w:rStyle w:val="a3"/>
                </w:rPr>
                <w:t>Подпрограмма 1</w:t>
              </w:r>
            </w:hyperlink>
            <w:r>
              <w:br/>
              <w:t>«Разработка и </w:t>
            </w:r>
            <w:r>
              <w:t>производство новых лекарственных средств» (задача «Расширение номенклатуры производимых с учетом передового научного опыта и современных технологий готовых лекарственных средств и фармацевтических субстанций, а также интенсификация развития фармацевтическо</w:t>
            </w:r>
            <w:r>
              <w:t>й промышленности путем ввода в эксплуатацию современных, модернизации и укрепления материально-технической базы существующих производств»)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4 500 418,23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1 793 377,93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1 268 466,29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867 756,76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566 995,0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3 822,25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централ</w:t>
            </w:r>
            <w:r>
              <w:t>изованный инновационный фонд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364 842,98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110 000,0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254 842,98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13 011 748,5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5 707 016,86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2 895 917,61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1 990 728,99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1 232 182,76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1 185 902,28</w:t>
            </w:r>
          </w:p>
        </w:tc>
      </w:tr>
      <w:tr w:rsidR="00000000">
        <w:trPr>
          <w:divId w:val="112020439"/>
          <w:trHeight w:val="240"/>
        </w:trPr>
        <w:tc>
          <w:tcPr>
            <w:tcW w:w="118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17 877 009,71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7 500 394,79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4 274 383,9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2 858 485,75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1 799 177,76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1 444 567,51</w:t>
            </w:r>
          </w:p>
        </w:tc>
      </w:tr>
      <w:tr w:rsidR="00000000">
        <w:trPr>
          <w:divId w:val="112020439"/>
          <w:trHeight w:val="240"/>
        </w:trPr>
        <w:tc>
          <w:tcPr>
            <w:tcW w:w="118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hyperlink w:anchor="a18" w:tooltip="+" w:history="1">
              <w:r>
                <w:rPr>
                  <w:rStyle w:val="a3"/>
                </w:rPr>
                <w:t>Подпрограмма 2</w:t>
              </w:r>
            </w:hyperlink>
            <w:r>
              <w:br/>
              <w:t>«Нормативная правовая база» (задача «Приведение нормативной правовой базы в области разработки, производства и контроля качества готовых лекарственных средств и фармацевтических суб</w:t>
            </w:r>
            <w:r>
              <w:t>станций, доклинических и клинических испытаний в соответствие с современными мировыми требованиями, включая требования к фармацевтическому сектору экономики, принятые в ЕС, а также предусмотренные соглашениями ЕАЭС»)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1 647 175,99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447</w:t>
            </w:r>
            <w:r>
              <w:t> 123,0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304 880,0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62 580,24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177 830,0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654 762,75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62 859,0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7 208,0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5 612,0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1 206,0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3 018,0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45 815,0</w:t>
            </w:r>
          </w:p>
        </w:tc>
      </w:tr>
      <w:tr w:rsidR="00000000">
        <w:trPr>
          <w:divId w:val="112020439"/>
          <w:trHeight w:val="240"/>
        </w:trPr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1 710 034,99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454 331,0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310 492,0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63 786,24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180 848,0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700 577,75</w:t>
            </w:r>
          </w:p>
        </w:tc>
      </w:tr>
      <w:tr w:rsidR="00000000">
        <w:trPr>
          <w:divId w:val="112020439"/>
          <w:trHeight w:val="240"/>
        </w:trPr>
        <w:tc>
          <w:tcPr>
            <w:tcW w:w="118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 xml:space="preserve">Всего по Государственной </w:t>
            </w:r>
            <w:hyperlink w:anchor="a3" w:tooltip="+" w:history="1">
              <w:r>
                <w:rPr>
                  <w:rStyle w:val="a3"/>
                </w:rPr>
                <w:t>программе</w:t>
              </w:r>
            </w:hyperlink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19 587 044,7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7 954 725,79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4 584 875,9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2 922 271,99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1 980 025,76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2 145 145,26</w:t>
            </w:r>
          </w:p>
        </w:tc>
      </w:tr>
      <w:tr w:rsidR="00000000">
        <w:trPr>
          <w:divId w:val="112020439"/>
          <w:trHeight w:val="240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00000">
        <w:trPr>
          <w:divId w:val="112020439"/>
          <w:trHeight w:val="240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6 147 594,22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2 240 500,93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1 573 346,29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930 337,0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744 825,0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658 585,0</w:t>
            </w:r>
          </w:p>
        </w:tc>
      </w:tr>
      <w:tr w:rsidR="00000000">
        <w:trPr>
          <w:divId w:val="112020439"/>
          <w:trHeight w:val="240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364 842,98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110 000,0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254 842,98</w:t>
            </w:r>
          </w:p>
        </w:tc>
      </w:tr>
      <w:tr w:rsidR="00000000">
        <w:trPr>
          <w:divId w:val="112020439"/>
          <w:trHeight w:val="240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13 074 607,5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5 714 224,86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2 901 529,61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1 991 934,99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1 235 200,76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1 231 717,28</w:t>
            </w:r>
          </w:p>
        </w:tc>
      </w:tr>
    </w:tbl>
    <w:p w:rsidR="00000000" w:rsidRDefault="0005338A">
      <w:pPr>
        <w:divId w:val="11202043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12020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rFonts w:eastAsia="Times New Roman"/>
              </w:rPr>
            </w:pPr>
          </w:p>
        </w:tc>
      </w:tr>
    </w:tbl>
    <w:p w:rsidR="00000000" w:rsidRDefault="0005338A">
      <w:pPr>
        <w:divId w:val="11202043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12020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05338A">
      <w:pPr>
        <w:divId w:val="11202043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12020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05338A">
      <w:pPr>
        <w:divId w:val="11202043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12020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05338A">
      <w:pPr>
        <w:divId w:val="11202043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12020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05338A">
      <w:pPr>
        <w:divId w:val="11202043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12020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05338A">
      <w:pPr>
        <w:divId w:val="11202043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12020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05338A">
      <w:pPr>
        <w:divId w:val="11202043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12020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05338A">
      <w:pPr>
        <w:divId w:val="11202043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12020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05338A">
      <w:pPr>
        <w:divId w:val="11202043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12020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05338A">
      <w:pPr>
        <w:pStyle w:val="newncpi"/>
        <w:divId w:val="11202043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8"/>
        <w:gridCol w:w="4052"/>
      </w:tblGrid>
      <w:tr w:rsidR="00000000">
        <w:trPr>
          <w:divId w:val="112020439"/>
          <w:trHeight w:val="238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append1"/>
            </w:pPr>
            <w:bookmarkStart w:id="10" w:name="a7"/>
            <w:bookmarkEnd w:id="10"/>
            <w:r>
              <w:t>Приложение 4</w:t>
            </w:r>
          </w:p>
          <w:p w:rsidR="00000000" w:rsidRDefault="0005338A">
            <w:pPr>
              <w:pStyle w:val="append"/>
            </w:pPr>
            <w:r>
              <w:t xml:space="preserve">к Государственной </w:t>
            </w:r>
            <w:hyperlink w:anchor="a3" w:tooltip="+" w:history="1">
              <w:r>
                <w:rPr>
                  <w:rStyle w:val="a3"/>
                </w:rPr>
                <w:t>программе</w:t>
              </w:r>
            </w:hyperlink>
            <w:r>
              <w:t xml:space="preserve"> </w:t>
            </w:r>
            <w:r>
              <w:br/>
              <w:t xml:space="preserve">развития фармацевтической </w:t>
            </w:r>
            <w:r>
              <w:br/>
              <w:t xml:space="preserve">промышленности Республики </w:t>
            </w:r>
            <w:r>
              <w:br/>
              <w:t>Беларусь на 2016–2020 годы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 xml:space="preserve">12.11.2020 № 640) </w:t>
            </w:r>
          </w:p>
        </w:tc>
      </w:tr>
    </w:tbl>
    <w:p w:rsidR="00000000" w:rsidRDefault="0005338A">
      <w:pPr>
        <w:pStyle w:val="titlep"/>
        <w:jc w:val="left"/>
        <w:divId w:val="112020439"/>
      </w:pPr>
      <w:bookmarkStart w:id="11" w:name="a28"/>
      <w:bookmarkEnd w:id="11"/>
      <w:r>
        <w:t xml:space="preserve">Комплекс мероприятий подпрограмм Государственной </w:t>
      </w:r>
      <w:hyperlink w:anchor="a3" w:tooltip="+" w:history="1">
        <w:r>
          <w:rPr>
            <w:rStyle w:val="a3"/>
          </w:rPr>
          <w:t>программы</w:t>
        </w:r>
      </w:hyperlink>
      <w:hyperlink w:anchor="a29" w:tooltip="+" w:history="1">
        <w:r>
          <w:rPr>
            <w:rStyle w:val="a3"/>
            <w:vertAlign w:val="superscript"/>
          </w:rPr>
          <w:t>1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8152"/>
        <w:gridCol w:w="6429"/>
        <w:gridCol w:w="1399"/>
        <w:gridCol w:w="1399"/>
        <w:gridCol w:w="1399"/>
        <w:gridCol w:w="1407"/>
      </w:tblGrid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Наименование мероприятий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Сроки выполнения мероприятий, годы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Источники финансирования мероприятий</w:t>
            </w:r>
          </w:p>
        </w:tc>
        <w:tc>
          <w:tcPr>
            <w:tcW w:w="24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Объемы финансирования, рублей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в том числе по годам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2016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2017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2018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2019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5338A">
            <w:pPr>
              <w:pStyle w:val="table10"/>
              <w:jc w:val="center"/>
            </w:pPr>
            <w:r>
              <w:t>2020</w:t>
            </w:r>
          </w:p>
        </w:tc>
      </w:tr>
      <w:tr w:rsidR="00000000">
        <w:trPr>
          <w:divId w:val="112020439"/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hyperlink w:anchor="a17" w:tooltip="+" w:history="1">
              <w:r>
                <w:rPr>
                  <w:rStyle w:val="a3"/>
                </w:rPr>
                <w:t>Подпрограмма 1</w:t>
              </w:r>
            </w:hyperlink>
            <w:r>
              <w:t xml:space="preserve"> «Разработка и производство новых лекарственных средств» (задача «Расширение номенклатуры производимых с учетом передового научного опыта и </w:t>
            </w:r>
            <w:r>
              <w:t xml:space="preserve">современных технологий готовых лекарственных средств и фармацевтических субстанций, а также интенсификация развития фармацевтической промышленности путем ввода в эксплуатацию современных, модернизации и укрепления материально-технической базы существующих </w:t>
            </w:r>
            <w:r>
              <w:t>производств»)</w:t>
            </w:r>
          </w:p>
        </w:tc>
      </w:tr>
      <w:tr w:rsidR="00000000">
        <w:trPr>
          <w:divId w:val="112020439"/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Раздел 1 «Разработка лекарственных средств и фармацевтических субстанций»</w:t>
            </w:r>
          </w:p>
        </w:tc>
      </w:tr>
      <w:tr w:rsidR="00000000">
        <w:trPr>
          <w:divId w:val="112020439"/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Подраздел 1. Заказчик – Министерство здравоохранения</w:t>
            </w:r>
          </w:p>
        </w:tc>
      </w:tr>
      <w:tr w:rsidR="00000000">
        <w:trPr>
          <w:divId w:val="112020439"/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Перечень проектов, выполняемых в </w:t>
            </w:r>
            <w:r>
              <w:t xml:space="preserve">рамках Государственной научно-технической программы «Создание и освоение выпуска современных фармацевтических субстанций и лекарственных средств на основе химических и микробиологических технологий («Фармацевтические субстанции и лекарственные средства»), </w:t>
            </w:r>
            <w:r>
              <w:t>2011–2015 годы» (далее – ГНТП)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1. Разработать технологию получения и организовать на УП «Унитехпром БГУ» производство противоопухолевого лекарственного средства Проспиделонг, предназначенного для лечения больных раком желудка с </w:t>
            </w:r>
            <w:r>
              <w:t>диссеминированным поражением брюшины (задание 01.22 ГНТП)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2013–2022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194 127,61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51 059,15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62 000,0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19 418,46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61 650,0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  <w:hyperlink w:anchor="a3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20 250,0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20 250,0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42 600,0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5 200,0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5 200,0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24 000,0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8 200,0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256 977,61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56 259,15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67 200,0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19 418,46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85 650,0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28 450,0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2. Разработать технологию получения полифункционального лекарственного средства для </w:t>
            </w:r>
            <w:r>
              <w:t>патогенетической адъювантной терапии развития спаечных процессов и организовать его производство на УП «Унитехпром БГУ» (задание 01.23 ГНТП)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2015–2022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299 515,62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132 377,65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95 434,27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34 049,12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37 654,58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  <w:hyperlink w:anchor="a3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66 330,97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66 330,97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26 300,0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4 000,0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11 300,0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1 350,0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1 500,0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8 150,0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392 146,59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136 377,65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106 </w:t>
            </w:r>
            <w:r>
              <w:t>734,27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35 399,12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39 154,58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74 480,97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3. Разработать технологию производства готовой лекарственной формы лекарственного средства, эквивалентного по терапевтической эффективности зарубежному аналогу Кларитромицин, в виде таблеток, покрытых оболочкой, облада</w:t>
            </w:r>
            <w:r>
              <w:t>ющего антибактериальным и бактериостатическим действием. Освоить выпуск в ОАО «Борисовский завод медицинских препаратов» (задание 03.18 ГНТП)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2010–2017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119 990,0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111 </w:t>
            </w:r>
            <w:r>
              <w:t>000,0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8 990,0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119 990,0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111 000,0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8 990,0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4. Разработать технологию и освоить выпуск на РУП «Белмедпрепараты» пероральной и парентеральной лекарственных форм лекарственного средства Вориконазол (задание 03.27 ГНТП)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2013–2017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</w:t>
            </w:r>
            <w:r>
              <w:t>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29 133,58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29 133,58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8 100,0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5 000,0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3 100,0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37 233,58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34 133,58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3 100,0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5. Разработать технологию производства лекарственного средства, эквивалентного по </w:t>
            </w:r>
            <w:r>
              <w:t>терапевтической эффективности оригинальному лекарственному средству, в виде таблеток, покрытых оболочкой, обладающего антигельминтным действием. Освоить выпуск в ОАО «БЗМП» (задание 03.28 ГНТП)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2015–2019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78 650,0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77 890,0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760,0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290 235,0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263 235,0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17 000,0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368 885,0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77 890,0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263 995,0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17 000,0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6. Разработать технологию получения лекарственного средства для </w:t>
            </w:r>
            <w:r>
              <w:t>терапии урологических заболеваний, эквивалентного по терапевтической эффективности зарубежному аналогу Канефрон Н, и освоить его производство в ОАО «БЗМП» (задание 03.29 ГНТП)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2015–2017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22 197,44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22 197,44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</w:t>
            </w:r>
            <w:r>
              <w:t>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50 950,0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19 750,0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31 200,0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73 147,44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41 947,44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31 200,0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7. Разработать технологию и освоить выпуск на </w:t>
            </w:r>
            <w:r>
              <w:t>РУП «Белмедпрепараты» готовых лекарственных форм антибактериального лекарственного средства, эквивалентного по терапевтической эффективности зарубежному аналогу Линезолид (задание 03.25 ГНТП)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2011–2018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24 295,32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11 714,6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11 800,0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780,72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24 295,32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11 714,6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11 800,0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780,72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8. На основе модификации аминокислот разработать лекарственное средство с цитопротективным эффектом на слизистую желуд</w:t>
            </w:r>
            <w:r>
              <w:t>очно-кишечного тракта и освоить его производство на СП ООО «Фармлэнд»</w:t>
            </w:r>
            <w:hyperlink w:anchor="a31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 xml:space="preserve"> (задание 02.28 ГНТП)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2011–2019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9. Исключен.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10. Разработать состав, технологию получения инфузионного раствора для парентерального питания, эквивалентного по терапевтической эффективности инфузионному раствору на основе аминокислот Инфезол 40, а </w:t>
            </w:r>
            <w:r>
              <w:t>также инновационного лекарственного средства данной группы и освоить их производство в ОАО «Несвижский завод медицинских препаратов» (задание 02.31 ГНТП)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2013–2023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165 172,82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65 050,0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40 528,59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59 594,23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  <w:hyperlink w:anchor="a3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33 500,0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10 500,0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4 000,0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12 500,0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6 500,0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198 672,82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75 550,0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44 528,59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72 094,23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6 500,0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 по проектам в рамках ГНТП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1 471 348,36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544 872,42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537 547,86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137 692,53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148 304,58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102 930,97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788 797,07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377 707,82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198 722,86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113 061,81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99 304,58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  <w:hyperlink w:anchor="a3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86 580,97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86 580,97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595 970,32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167 164,6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338 825,0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24 630,72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49 000,0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16 350,0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11. Исключен.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12. Исключен.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13. Исключен.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00000">
        <w:trPr>
          <w:divId w:val="112020439"/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Перечень проектов, планируемых к выполнению в 2016–2020 годах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14. Разработать технологию и освоить выпуск иммуносупрессивного перорального лекарственного средства Микофенолат мофетил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2016–2022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356 191,34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206 </w:t>
            </w:r>
            <w:r>
              <w:t>191,34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150 000,0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534 465,34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32 500,0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211 760,0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150 177,77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113 600,0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26 427,57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890 656,68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238 691,34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361 760,0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150 177,77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113 600,0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26 427,57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15. Разработать технологию и </w:t>
            </w:r>
            <w:r>
              <w:t>освоить выпуск лекарственного средства Прегабалин, капсулы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2016–2021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63 100,0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63 100,0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178 561,91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41 500,0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15 000,0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66 600,0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6 215,5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49 246,41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241 661,91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41 500,0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78 100,0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66 600,0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6 215,5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49 246,41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16. Разработать технологию и освоить выпуск лекарственного средства Алпростадил, порошок лиофилизированный для приготовления раствора для инфузий</w:t>
            </w:r>
            <w:hyperlink w:anchor="a35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86 500,0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86 500,0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86 500,0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86 500,0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17. Исключен.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18. Разработать технологию и освоить выпуск лекарственного средства Глюкозамин (аналог Доны), раствор для </w:t>
            </w:r>
            <w:r>
              <w:t>инъекций в комплекте с растворителем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2016–2017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50 640,0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31 640,0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19 000,0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50 640,0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31 640,0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19 000,0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19. Разработать технологию и </w:t>
            </w:r>
            <w:r>
              <w:t>освоить выпуск лекарственного средства Тегафур, капсулы</w:t>
            </w:r>
            <w:hyperlink w:anchor="a35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52 000,0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52 000,0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52 000,0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52 000,0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20. Разработать технологию и освоить выпуск лекарственного средства Иринотекан, концентрат для приготовления раствора для инфузий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2016–2019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77 500,0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66 500,0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11 000,0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80 100,0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27 300,0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34 200,0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16 200,0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2 400,0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157 600,0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93 800,0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45 200,0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16 200,0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2 400,0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21. Разработать технологию и освоить выпуск лекарственного средства Фторурацил, концентрат для приготовления раствора для инфузий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2017–2021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</w:t>
            </w:r>
            <w:r>
              <w:t>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82 385,8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30 000,0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14 000,0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13 350,0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25 035,8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82 385,8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30 000,0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14 000,0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13 350,0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25 035,8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22. Разработать технологию и </w:t>
            </w:r>
            <w:r>
              <w:t xml:space="preserve">освоить выпуск лекарственного средства Винкристин, раствор для внутривенного введения 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2016–2017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49 000,0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37 500,0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11 500,0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37 500,0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22 000,0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15 500,0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86 500,0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59 500,0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27 000,0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23. Исключен.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24. Разработать технологию и освоить выпуск лекарственного средства Теноксикам, лиофилизированный порошок для приготовления раствора для инъекций 20 мг во флаконах в комплекте с растворителем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</w:t>
            </w:r>
            <w:r>
              <w:t>20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56 573,72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23 000,0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20 000,0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13 573,72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55 000,0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9 000,0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12 000,0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26 500,0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4 800,0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2 700,0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111 573,72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32 000,0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32 000,0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40 073,72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4 800,0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2 700,0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25. Разработать технологию получения генерического лекарственного средства в виде жевательных таблеток, обладающего бронхолитическим действием, на основе субстанции Монтелукаста натрия и освоить выпуск в ОАО «БЗМП»</w:t>
            </w:r>
            <w:hyperlink w:anchor="a32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</w:t>
            </w:r>
            <w:r>
              <w:t>17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21 000,0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8 000,0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13 000,0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21 000,0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8 000,0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13 000,0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26. Разработать технологию получения генерического лекарственного средства в </w:t>
            </w:r>
            <w:r>
              <w:t>виде таблеток, покрытых оболочкой, обладающего бронхолитическим действием, на основе субстанции Монтелукаста натрия и освоить выпуск в ОАО «БЗМП»</w:t>
            </w:r>
            <w:hyperlink w:anchor="a32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2016–2017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</w:t>
            </w:r>
            <w:r>
              <w:t>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24 000,0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6 000,0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18 000,0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24 000,0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6 000,0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18 000,0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27. Разработать технологию получения генерического лекарственного средства в виде таблеток, покрытых оболочкой, обладающего антидепрессивным действием, на </w:t>
            </w:r>
            <w:r>
              <w:t>основе субстанции Сертралина и освоить выпуск в ОАО «БЗМП»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2016–2020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50 901,44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50 901,44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260 000,0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9 000,0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23 000,0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210 000,0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12 000,0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6 000,0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310 901,44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9 000,0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23 000,0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260 901,44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12 000,0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6 000,0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 xml:space="preserve">28. Разработать технологию получения генерического лекарственного средства в виде крема для наружного применения, обладающего противовоспалительным, противозудным и противоаллергическим действием, на основе субстанции </w:t>
            </w:r>
            <w:r>
              <w:t>Клобетазола пропионата и освоить выпуск в ОАО «БЗМП»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2016–2018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23 655,72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18 000,0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5 655,72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43 967,0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6 989,0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16 978,0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20 000,0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67 622,72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6 989,0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34 978,0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25 </w:t>
            </w:r>
            <w:r>
              <w:t>655,72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29. Разработать технологию получения генерического лекарственного средства в виде таблеток, обладающего противомикробным действием, на основе субстанции Фуразидина и освоить выпуск в ОАО «БЗМП»</w:t>
            </w:r>
            <w:hyperlink w:anchor="a33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2016–2018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</w:t>
            </w:r>
            <w:r>
              <w:t>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137 500,0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20 000,0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67 500,0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50 000,0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137 500,0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20 000,0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67 500,0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50 000,0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30. Разработать технологию получения генерического лекарственного средства в </w:t>
            </w:r>
            <w:r>
              <w:t>виде таблеток, покрытых оболочкой, обладающего гипотензивным действием, на основе субстанции Ирбесартана и освоить выпуск в ОАО «БЗМП»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2016–2020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96 000,0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36 000,0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60 000,0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217 </w:t>
            </w:r>
            <w:r>
              <w:t>000,0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5 000,0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58 000,0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100 000,0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30 000,0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24 000,0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313 000,0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5 000,0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94 000,0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160 000,0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30 000,0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24 000,0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 xml:space="preserve">31. Разработать технологию получения генерического лекарственного средства в виде таблеток, покрытых оболочкой, обладающего гипотензивным </w:t>
            </w:r>
            <w:r>
              <w:t>действием, на основе Ирбесартана и Гидрохлортиазида и освоить выпуск в ОАО «БЗМП»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2017–2022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105 000,0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60 000,0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45 000,0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283 000,0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15 000,0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68 000,0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80 000,0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120 000,0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388 000,0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15 000,0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128 000,0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125 000,0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120 000,0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32. Разработать технологию получения генерического лекарственного средства в виде таблеток, покрытых оболочкой, обладающего антиаритмическим действием, на основе субстанции Пропафенона и </w:t>
            </w:r>
            <w:r>
              <w:t>освоить выпуск в ОАО «БЗМП»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2016–2019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76 098,29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58 000,0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18 098,29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415 000,0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5 000,0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80 000,0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315 000,0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15 000,0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491 098,29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5 000,0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138 000,0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333 098,29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15 000,0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33. Разработать технологию получения генерического лекарственного средства в виде таблеток, покрытых оболочкой, обладающего противомикробным, противовоспалительным действием, на основе субстанции Сульфасалазина и освоить выпуск в ОАО «БЗМП»</w:t>
            </w:r>
            <w:hyperlink w:anchor="a32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2016–2017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87 000,0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9 000,0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78 000,0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87 000,0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9 000,0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78 000,0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34. Разработать технологию получения генерического лекарственного средства в виде таблеток, покрытых оболочкой, обладающего антидепрессивным действием, на основе субстанции Пароксетина и освоить выпуск в ОАО «БЗМП»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2016–2017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40 000,0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40 000,0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51 000,0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38 000,0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13 000,0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91 000,0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78 000,0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13 000,0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35. Разработать технологию получения генерического лекарственного средства в </w:t>
            </w:r>
            <w:r>
              <w:t>виде таблеток пролонгированного действия, обладающего противоэпилептическим действием, на основе субстанции Вальпроевой кислоты и освоить выпуск в ОАО «БЗМП»</w:t>
            </w:r>
            <w:hyperlink w:anchor="a32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2016–2017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46 790,0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26 790,0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20 000,0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46 790,0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26 790,0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20 000,0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36. Разработать технологию получения генерического лекарственного средства в </w:t>
            </w:r>
            <w:r>
              <w:t>виде таблеток пролонгированного действия, обладающего гипогликемическим действием, на основе субстанции Метформина гидрохлорида и освоить выпуск в ОАО «БЗМП»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2016–2019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52</w:t>
            </w:r>
            <w:r>
              <w:t>3 900,0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35 000,0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420 000,0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40 000,0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28 900,0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523 900,0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35 000,0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420 000,0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40 000,0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28 900,0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37. Разработать технологию получения генерического лекарственного средства в виде таблеток, покр</w:t>
            </w:r>
            <w:r>
              <w:t>ытых оболочкой, обладающего антипсихотическим действием, на основе субстанции Хлорпротиксена и освоить выпуск в ОАО «БЗМП»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2016–2017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25 000,0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89 353,11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21 000,0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68 </w:t>
            </w:r>
            <w:r>
              <w:t>353,11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114 353,11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46 000,0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68 353,11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38. Разработать технологию получения генерического лекарственного средства в виде таблеток, покрытых оболочкой, обладающего серотонин-блокирующим противомигренозным действием, на основе субстанци</w:t>
            </w:r>
            <w:r>
              <w:t>и Суматриптана и освоить выпуск в ОАО «БЗМП»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65 000,0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65 000,0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68 700,0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68 700,0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133 700,0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133 700,0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39. Разработать технологию получения генерического лекарственного средства в виде таблеток, обладающего антигеморрагическим действием, на основе субстанции Этамзилата и освоить выпуск в ОАО «БЗМП»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2016–2018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40 000,0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40 000,0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134 700,0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5 000,0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120 000,0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9 700,0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174 700,0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45 000,0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120 000,0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9 700,0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40. Разработать технологию получения генерического лекарственного средства в </w:t>
            </w:r>
            <w:r>
              <w:t>виде таблеток, покрытых оболочкой, обладающего гипопролактинемическим действием, на основе субстанции Каберголина и освоить выпуск в ОАО «БЗМП»</w:t>
            </w:r>
            <w:hyperlink w:anchor="a33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2017–2018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</w:t>
            </w:r>
            <w:r>
              <w:t>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31 000,0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9 000,0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22 000,0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31 000,0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9 000,0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22 000,0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41. Разработать технологию получения лекарственного средства Прогестерон, обладающего гестагенной активностью, и освоить промышленный выпуск на УП </w:t>
            </w:r>
            <w:r>
              <w:t>«Минскинтеркапс»</w:t>
            </w:r>
            <w:hyperlink w:anchor="a33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2016–2018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188 314,0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30 391,0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117 923,0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40 000,0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188 314,0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30 391,0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117 923,0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40 </w:t>
            </w:r>
            <w:r>
              <w:t>000,0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42. Разработать технологию получения лекарственного средства Циклоспорин, обладающего иммуносупрессивным действием, и освоить промышленный выпуск на УП «Минскинтеркапс»</w:t>
            </w:r>
            <w:hyperlink w:anchor="a32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2016–2017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285 039,0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32 929,0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252 110,0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285 039,0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32 929,0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252 110,0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43. Разработать технологию получения лекарственного средства Фебуксостат, средства для </w:t>
            </w:r>
            <w:r>
              <w:t>лечения гиперурикемии, и освоить промышленный выпуск на УП «Минскинтеркапс»</w:t>
            </w:r>
            <w:hyperlink w:anchor="a35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29 553,0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29 553,0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29 553,0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29 553,0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44. Исключен.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79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45. Разработать технологию получения лекарственного средства Дидрогестерон, препарата с избирательным прогестагенным действием на слизистую оболочку матки, и освоить промышленный выпуск на УП </w:t>
            </w:r>
            <w:r>
              <w:t>«Минскинтеркапс»</w:t>
            </w:r>
            <w:hyperlink w:anchor="a35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87,26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87,26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87,26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87,26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46. Исключен.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79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47. Разработать технологию получения лекарственного средства Дутастерид, препарата для лечения доброкачественной гиперплазии предстательной железы, и освоить промышленный выпуск на УП «Минскинтеркапс»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2017–2021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 xml:space="preserve">в пределах выделенных </w:t>
            </w:r>
            <w:r>
              <w:t>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434 177,0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93 898,0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75 000,0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189 795,0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75 484,0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434 177,0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93 898,0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75 000,0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189 795,0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75 484,0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48. Исключен.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79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49. Разработать технологию получения лекарственного средства Месалазин, ректальные капсулы для лечения и профилактики воспалительных заболеваний кишечника, и освоить промышленный выпуск на УП «Минскинтеркапс»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2017–2021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</w:t>
            </w:r>
            <w:r>
              <w:t>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608 173,0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36 401,0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57 700,0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286 189,0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227 883,0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608 173,0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36 401,0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57 700,0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286 189,0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227 883,0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50. Разработать технологию получения лекарственного средства для </w:t>
            </w:r>
            <w:r>
              <w:t>лечения гепатита С, эквивалентного зарубежному аналогу Совальди, и освоить его производство на СП ООО «Фармлэнд»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2016–2017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202 000,0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123 000,0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79 </w:t>
            </w:r>
            <w:r>
              <w:t>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202 000,0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123 000,0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79 000,0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51. Разработать технологию получения лекарственного средства для терапии рака предстательной железы, биоэквивалентного зарубежному аналогу Зитига, и освоить его производство на СП ООО «Фармлэнд»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2016–2019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371 613,26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93 000,0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94 000,0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102 000,0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82 613,26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371 613,26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93 000,0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94 000,0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102 000,0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82 613,26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52. Разработать лекарственные средства на основе плазмы крови человека ПлазмаБел и Нормоплаз и освоить производство в РНПЦ трансфузиологии и медицинских биотехнологий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2016–2021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648 245,44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93 000,0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236 000,0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114 245,44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205 000,0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  <w:hyperlink w:anchor="a3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122 131,14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122 131,14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185 745,5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43 600,0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20 500,0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101 645,5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956 122,08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136 600,0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246 000,0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124 245,44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225 500,0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223 776,64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53. Разработать технологию и освоить на УП «Унитехпром БГУ» производство лекарственного средства Фосцелантан, обладающего антибактериальным, анальгетическим и репаративным действиями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2016–2022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484 212,04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109 000,0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131 000,0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183 245,17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60 966,87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  <w:hyperlink w:anchor="a3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46 130,87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46 130,87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20 900,0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</w:t>
            </w:r>
            <w:r>
              <w:t>700,0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2 300,0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3 500,0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7 900,0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5 500,0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551 242,91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110 700,0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133 300,0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186 745,17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68 866,87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51 630,87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54. Исключен.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79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55. Исключен.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79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56. Исключен.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79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57. Разработать технологию и </w:t>
            </w:r>
            <w:r>
              <w:t>освоить выпуск лекарственного средства Норэпинефрин (раствор для инъекций) в ампулах в СОАО «Ферейн»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2016–2017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132 552,0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69 541,0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63 011,0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132 552,0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69 541,0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63 011,0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58. Разработать технологию и освоить выпуск лекарственного средства Метилэргометрин (раствор для инъекций) в ампулах в СОАО «Ферейн»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2016–2017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133 552,0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70 541,0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63 011,0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133 552,0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70 541,0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63 011,0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59. Исключен.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79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60. Исключен.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79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61. Исключен.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79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62. Разработать технологию получения лекарственного средства, эквивалентного по терапевтической эффективности генерическому аналогу ЭНАП, раствор для инъекций 1,25 мг/мл, и освоить его производство в СОАО «Ферейн»</w:t>
            </w:r>
            <w:hyperlink w:anchor="a32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2016–2017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82 291,0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71 291,0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11 000,0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82 291,0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71 291,0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11 000,0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 xml:space="preserve">63. Разработать технологию получения лекарственного средства для терапии круглогодичной и сезонной формы аллергического конъюнктивита и ринита, эквивалентного по терапевтической эффективности зарубежному аналогу Ксизал, таблетки, покрытые оболочкой, 5 мг, </w:t>
            </w:r>
            <w:r>
              <w:t>и освоить его производство в СООО «Лекфарм»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2016–2018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149 200,0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117 200,0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22 000,0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149 200,0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117 200,0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22 000,0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64. Разработать технологию получения противоязвенного препарата, эквивалентного по терапевтической эффективности зарубежному аналогу Контролок, таблетки п/о 20 мг и 40 мг, и освоить его производство в СООО «Лекфарм»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2016–2018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</w:t>
            </w:r>
            <w:r>
              <w:t>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209 700,0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39 700,0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89 500,0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80 500,0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209 700,0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39 700,0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89 500,0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80 500,0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65. Разработать технологию получения лекарственного средства для </w:t>
            </w:r>
            <w:r>
              <w:t>купирования болевого синдрома различного генеза, эквивалентного по терапевтической эффективности зарубежному аналогу Дексалгин, раствор для инъекций, 25 мг/1 мл ампула 2 мл, производства A. Menarini Manufacturing Logistics and Services S.r.l., Италия, и ос</w:t>
            </w:r>
            <w:r>
              <w:t>воить его производство в СООО «Лекфарм»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2016–2017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67 600,0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45 200,0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22 400,0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67 600,0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45 200,0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22 400,0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66. Исключен.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67. Разработать оригинальное лекарственное средство АНТИ-PD-1 для лечения рака легкого, рака почки, меланомы и освоить его производство на производственной площадке СООО «НАТИВИТА»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2016–2018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63 500,0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2 700,0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60 800,0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63 500,0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2 700,0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60 800,0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67</w:t>
            </w:r>
            <w:r>
              <w:rPr>
                <w:vertAlign w:val="superscript"/>
              </w:rPr>
              <w:t>1</w:t>
            </w:r>
            <w:r>
              <w:t>. Разработать оригинальное лекарственное средство АНТИ-PD-1 для лечения рака легкого, меланомы и </w:t>
            </w:r>
            <w:r>
              <w:t>освоить его производство на производственной площадке СООО «НАТИВИТА»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2019–2022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102 000,0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58 600,0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43 400,0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102 000,0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58 </w:t>
            </w:r>
            <w:r>
              <w:t>600,0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43 400,0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68. Разработать оригинальное лекарственное средство АНТИ-ИЛ17 для лечения ревматоидного артрита у пациентов, не отвечающих на анти-ФНО-терапию, псориазного артрита и освоить его производство на производственной площадке СООО «НАТИВИТА»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2016–2020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524 230,0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38 500,0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37 500,0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25 000,0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422 230,0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524 230,0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38 500,0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37 500,0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25 000,0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422 230,0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69. Разработать оригинальное лекарственное средство ПЭГ-дарбэпоэтин для лечения симптоматической анемии у пациентов с хронической почечной недостаточностью и онкологических пациентов с немиелоидными злокачественными новообразованиями, получающих химиотерап</w:t>
            </w:r>
            <w:r>
              <w:t>ию, и освоить его производство на производственной площадке СООО «НАТИВИТА»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2018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38 500,0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38 500,0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38 500,0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38 500,0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69</w:t>
            </w:r>
            <w:r>
              <w:rPr>
                <w:vertAlign w:val="superscript"/>
              </w:rPr>
              <w:t>1</w:t>
            </w:r>
            <w:r>
              <w:t>. Разработать оригинальное лекарственное средство ПЭГ-дарбэпоэтин для лечения симптоматической анемии у пациентов с хронической почечной недостаточностью и освоить его производство на производственной площадке СООО «НАТИВИТА»</w:t>
            </w:r>
            <w:hyperlink w:anchor="a34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2019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26 000,0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26 000,0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26 000,0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26 000,0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 по проектам на 2016–2020 годы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9 870 530,18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2 080 043,6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3 049 </w:t>
            </w:r>
            <w:r>
              <w:t>445,11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2 129 397,55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1 313 829,63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1 297 814,29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2 256 477,99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705 191,34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734 600,0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505 719,78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310 966,87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  <w:hyperlink w:anchor="a3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168 262,01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168</w:t>
            </w:r>
            <w:r>
              <w:t> 262,01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7 445 790,18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1 374 852,26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2 314 845,11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1 623 677,77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1 002 862,76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1 129 552,28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 xml:space="preserve">70. Обеспечить научно-организационное сопровождение работ по разделу 1 </w:t>
            </w:r>
            <w:hyperlink w:anchor="a17" w:tooltip="+" w:history="1">
              <w:r>
                <w:rPr>
                  <w:rStyle w:val="a3"/>
                </w:rPr>
                <w:t>подпрограммы</w:t>
              </w:r>
              <w:r>
                <w:rPr>
                  <w:rStyle w:val="a3"/>
                </w:rPr>
                <w:t xml:space="preserve"> 1</w:t>
              </w:r>
            </w:hyperlink>
            <w:r>
              <w:t xml:space="preserve"> «Разработка и производство новых лекарственных средств»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2016–2020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169 582,17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63 478,77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48 703,43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27 845,17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25 732,55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3 822,25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169 </w:t>
            </w:r>
            <w:r>
              <w:t>582,17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63 478,77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48 703,43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27 845,17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25 732,55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3 822,25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 по подразделу 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11 511 460,71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2 688 394,79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3 635 696,4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2 294 935,25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1 487 866,76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1 404 567,51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3 214 857,23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1 146 377,93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982 026,29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646 626,76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436 </w:t>
            </w:r>
            <w:r>
              <w:t>004,0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3 822,25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  <w:hyperlink w:anchor="a3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254 842,98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254 842,98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8 041 760,5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1 542 016,86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2 653 670,11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1 648 308,49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1 051 862,76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</w:t>
            </w:r>
            <w:r>
              <w:t>145 902,28</w:t>
            </w:r>
          </w:p>
        </w:tc>
      </w:tr>
      <w:tr w:rsidR="00000000">
        <w:trPr>
          <w:divId w:val="112020439"/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Подраздел 2. Заказчик – Национальная академия наук Беларуси</w:t>
            </w:r>
          </w:p>
        </w:tc>
      </w:tr>
      <w:tr w:rsidR="00000000">
        <w:trPr>
          <w:divId w:val="112020439"/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 xml:space="preserve">Перечень проектов, выполняемых в 2010–2015 годах в рамках Государственной </w:t>
            </w:r>
            <w:hyperlink r:id="rId31" w:anchor="a2" w:tooltip="+" w:history="1">
              <w:r>
                <w:rPr>
                  <w:rStyle w:val="a3"/>
                </w:rPr>
                <w:t>программы</w:t>
              </w:r>
            </w:hyperlink>
            <w:r>
              <w:t xml:space="preserve"> по развитию импортозамещающих производст</w:t>
            </w:r>
            <w:r>
              <w:t>в фармацевтических субстанций, готовых лекарственных и диагностических средств в Республике Беларусь на 2010–2014 годы и на период до 2020 года (далее – ГП)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71. Разработать и </w:t>
            </w:r>
            <w:r>
              <w:t xml:space="preserve">организовать производство противоопухолевого лекарственного средства Клофарабин для лечения острых форм лейкоза на опытно-экспериментальном участке ГНУ «Институт биоорганической химии НАН Беларуси» (задание Ф07 </w:t>
            </w:r>
            <w:hyperlink r:id="rId32" w:anchor="a2" w:tooltip="+" w:history="1">
              <w:r>
                <w:rPr>
                  <w:rStyle w:val="a3"/>
                </w:rPr>
                <w:t>ГП</w:t>
              </w:r>
            </w:hyperlink>
            <w:r>
              <w:t>)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2010–2017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40 000,0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30 000,0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40 000,0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30 000,0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 xml:space="preserve">72. Разработать опытно-промышленную технологию производства фармацевтической субстанции противоопухолевого препарата Пеметрексед и внедрить ее на опытно-экспериментальном участке ГНУ «Институт биоорганической химии НАН Беларуси» (задание Ф10 </w:t>
            </w:r>
            <w:hyperlink r:id="rId33" w:anchor="a2" w:tooltip="+" w:history="1">
              <w:r>
                <w:rPr>
                  <w:rStyle w:val="a3"/>
                </w:rPr>
                <w:t>ГП</w:t>
              </w:r>
            </w:hyperlink>
            <w:r>
              <w:t>)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2012–2016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3 000,0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3 000,0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73. Разработать и </w:t>
            </w:r>
            <w:r>
              <w:t xml:space="preserve">освоить технологию производства фармсубстанции оригинального отечественного препарата антихолестеринемического действия Декрехол на основе эпибрассиностероидов (задание Ф14 </w:t>
            </w:r>
            <w:hyperlink r:id="rId34" w:anchor="a2" w:tooltip="+" w:history="1">
              <w:r>
                <w:rPr>
                  <w:rStyle w:val="a3"/>
                </w:rPr>
                <w:t>ГП</w:t>
              </w:r>
            </w:hyperlink>
            <w:r>
              <w:t>)</w:t>
            </w:r>
            <w:hyperlink w:anchor="a31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2010–2016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74. Разработать и </w:t>
            </w:r>
            <w:r>
              <w:t xml:space="preserve">освоить технологию производства фармацевтической субстанции рекомбинантного интерферона альфа 2b (задание Ф54 </w:t>
            </w:r>
            <w:hyperlink r:id="rId35" w:anchor="a2" w:tooltip="+" w:history="1">
              <w:r>
                <w:rPr>
                  <w:rStyle w:val="a3"/>
                </w:rPr>
                <w:t>ГП</w:t>
              </w:r>
            </w:hyperlink>
            <w:r>
              <w:t>)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2011–2016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45 000,0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45 000,0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</w:t>
            </w:r>
            <w:r>
              <w:t>еля (исполнителей)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45 000,0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45 000,0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75. Исключен.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 xml:space="preserve">76. Разработать и освоить технологию производства таблетированной формы антацидного препарата (задание Ф13 </w:t>
            </w:r>
            <w:hyperlink r:id="rId36" w:anchor="a2" w:tooltip="+" w:history="1">
              <w:r>
                <w:rPr>
                  <w:rStyle w:val="a3"/>
                </w:rPr>
                <w:t>ГП</w:t>
              </w:r>
            </w:hyperlink>
            <w:r>
              <w:t>)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2010–2016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90 000,0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90 000,0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90 000,0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90 000,0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77. Исключен.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 xml:space="preserve">78. Разработать и освоить технологию производства фармацевтической субстанции рекомбинантного гранулоцитарного колониестимулирующего фактора (задание Ф53 </w:t>
            </w:r>
            <w:hyperlink r:id="rId37" w:anchor="a2" w:tooltip="+" w:history="1">
              <w:r>
                <w:rPr>
                  <w:rStyle w:val="a3"/>
                </w:rPr>
                <w:t>ГП</w:t>
              </w:r>
            </w:hyperlink>
            <w:r>
              <w:t>)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2011–2016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44 000,0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44 000,0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44 000,0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44 000,0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 xml:space="preserve">Итого по проектам в рамках </w:t>
            </w:r>
            <w:hyperlink r:id="rId38" w:anchor="a2" w:tooltip="+" w:history="1">
              <w:r>
                <w:rPr>
                  <w:rStyle w:val="a3"/>
                </w:rPr>
                <w:t>ГП</w:t>
              </w:r>
            </w:hyperlink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222 000,0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212 000,0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179 000,0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179 000,0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43 000,0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33 000,0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Перечень проектов, планируемых к выполнению в 2016–2020 годах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 xml:space="preserve">79. Разработать опытно-промышленную технологию производства фармацевтической субстанции противоопухолевого лекарственного средства Сорафениб и его пероральной лекарственной формы и внедрить ее в НПЦ «ХимФармСинтез» ГНУ «Институт биоорганической химии НАН  </w:t>
            </w:r>
            <w:r>
              <w:t>Беларуси»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2016–2020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395 000,0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109 500,0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113 645,0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86 666,0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85 189,0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231 434,0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40 255,0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171 179,0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20 000,0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626 434,0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109 500,0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153 900,0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257 845,0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85 189,0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20 000,0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80. Разработать опытно-промышленную технологию производства фармацевтической субстанции противоопухолевого лекарственного средства Нилотиниб и его пероральной лекарственной формы и внедрить ее в НПЦ «ХимФармСинтез» ГНУ «Институт биоорганической химии НАН Б</w:t>
            </w:r>
            <w:r>
              <w:t>еларуси»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2016–2020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378 000,0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102 500,0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113 720,0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115 978,0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45 802,0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220 000,0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40 280,0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159 720,0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20 000,0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598 000,0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102 500,0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154 000,0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115 978,0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205 522,0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20 000,0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81. Разработать технологию производства антигипертензивного лекарственного средства на основе Телмисартана, освоить промышленное производство генерического препарата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2016–2018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56 000,0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56 000,0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</w:t>
            </w:r>
            <w:r>
              <w:t>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78 085,0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55 000,0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13 085,0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134 085,0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66 000,0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55 000,0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13 085,0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82. Разработать технологию производства генерического лекарственного средства для лечения артериальной гипертензии и ИБС на </w:t>
            </w:r>
            <w:r>
              <w:t>основе Небиволола, освоить промышленное производство генерического препарата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2016–2019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67 561,0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49 075,0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18 486,0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84 869,0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54 269,0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20 600,0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152 430,0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49 075,0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72 755,0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20 600,0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83. Разработать технологию производства генерического лекарственного средства для лечения воспалительных заболеваний кишечника на основе Месалазина, освоить промышленное производство генерического препарата</w:t>
            </w:r>
            <w:hyperlink w:anchor="a32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2016–2017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70 000,0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60 000,0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35 000,0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25 000,0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  <w:hyperlink w:anchor="a3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110 000,0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110 000,0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215 000,0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70 000,0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145 000,0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84. Разработать технологию производства генерического антигипертензивного лекарственного средства на </w:t>
            </w:r>
            <w:r>
              <w:t>основе Лерканидипина, освоить промышленное производство генерического препарата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2016–2018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70 000,0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70 000,0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140 000,0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30 000,0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30 000,0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80 000,0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210 000,0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100 </w:t>
            </w:r>
            <w:r>
              <w:t>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30 000,0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80 000,0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85. Разработать технологию производства генерического противовирусного лекарственного средства на основе Валганцикловира, освоить промышленное производство генерического препарата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2016–2018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70 000,0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70 00</w:t>
            </w:r>
            <w: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85 600,0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20 000,0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41 712,5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23 887,5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155 600,0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90 000,0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41 712,5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23 887,5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 по проектам на 2016–2020 годы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2 091 549,0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548 000,0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628 687,5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563 550,5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311 311,0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40 000,0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1 106 561,0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468 000,0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286 440,0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221 130,0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130 991,0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874 988,0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80 000,0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232 247,5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342 420,5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180 320,0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40 000,0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  <w:hyperlink w:anchor="a3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110 000,0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110 000,0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 по подразделу 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2 313 549,0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760 000,0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638 687,5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563 550,5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311 311,0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40 000,0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1 285 561,0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647</w:t>
            </w:r>
            <w:r>
              <w:t> 000,0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286 440,0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221 130,0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130 991,0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917 988,0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113 000,0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242 247,5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342 420,5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180 320,0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40 000,0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  <w:hyperlink w:anchor="a3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110 000,0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110 000,0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 по разделу 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13 825 009,71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3 448 394,79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4 274 383,9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2 858 485,75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1 799 177,76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1 444 567,51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4 500 418,23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1 793 377,93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1 268 466,29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867 756,76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566 995,0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3 822,25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  <w:hyperlink w:anchor="a3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364 842,98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110 000,0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254 842,98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8 959 748,5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1 655 016,86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2 895 917,61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1 990 728,99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1 232 182,76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1 185 902,28</w:t>
            </w:r>
          </w:p>
        </w:tc>
      </w:tr>
      <w:tr w:rsidR="00000000">
        <w:trPr>
          <w:divId w:val="112020439"/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Раздел 2 «Организация производства отечественных фармацевтических субстанций и готовых лекарственных форм»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86. Реконструкция изолированного производственного помещения № 1, расположенного по адресу: г.п. Бешенковичи, ул. Пушкина, 9–1, под размещен</w:t>
            </w:r>
            <w:r>
              <w:t>ие предприятия по производству первых генерических лекарственных средств в таблетированных, капсулированных и инъекционных формах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2013–2016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4 052 </w:t>
            </w:r>
            <w:r>
              <w:t>000,0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4 052 000,0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 по разделу 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4 052 000,0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4 052 000,0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567"/>
            </w:pPr>
            <w:r>
              <w:t xml:space="preserve">в том числе: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4 052 000,0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4 052 000,0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52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Всего по </w:t>
            </w:r>
            <w:hyperlink w:anchor="a17" w:tooltip="+" w:history="1">
              <w:r>
                <w:rPr>
                  <w:rStyle w:val="a3"/>
                </w:rPr>
                <w:t>подпрограмме 1</w:t>
              </w:r>
            </w:hyperlink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17 877 009,71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7 500 394,79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4 274 383,9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2 858 485,75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1 799 177,76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1 444 567,51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4 500 418,23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1 793 377,93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1 268 466,29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867 756,76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566 995,0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3 822,25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  <w:hyperlink w:anchor="a3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364 842,98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110 000,0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254 842,98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13 011 748,5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5 707 016,86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2 895 917,61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1 990 728,99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1 232 182,76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1 185 902,28</w:t>
            </w:r>
          </w:p>
        </w:tc>
      </w:tr>
      <w:tr w:rsidR="00000000">
        <w:trPr>
          <w:divId w:val="112020439"/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hyperlink w:anchor="a18" w:tooltip="+" w:history="1">
              <w:r>
                <w:rPr>
                  <w:rStyle w:val="a3"/>
                </w:rPr>
                <w:t>Подпрограмма 2</w:t>
              </w:r>
            </w:hyperlink>
            <w:r>
              <w:t xml:space="preserve"> «Нормативная правовая база» (задача «Приведение нормативной правовой базы в области разработки, производства и контроля качества готовых лекарственных средств и фармацевтических субстанций, доклинических и кл</w:t>
            </w:r>
            <w:r>
              <w:t>инических испытаний в соответствие с современными мировыми требованиями, включая требования к фармацевтическому сектору экономики, принятые в ЕС, а также предусмотренные соглашениями ЕАЭС»)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87. Разработать ТКП «Биологически аналогичные лекарственн</w:t>
            </w:r>
            <w:r>
              <w:t xml:space="preserve">ые средства (биоаналоги), содержащие гепарины с низкой молекулярной массой. Доклинические и клинические исследования» (задание 32 </w:t>
            </w:r>
            <w:hyperlink r:id="rId39" w:anchor="a2" w:tooltip="+" w:history="1">
              <w:r>
                <w:rPr>
                  <w:rStyle w:val="a3"/>
                </w:rPr>
                <w:t>ГП</w:t>
              </w:r>
            </w:hyperlink>
            <w:r>
              <w:t>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2015–2016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2 000,0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 xml:space="preserve">88. Разработать ТКП «Биологически аналогичные лекарственные средства (биоаналоги), содержащие рекомбинантный инсулин человека. Доклинические и клинические исследования» (задание 33 </w:t>
            </w:r>
            <w:hyperlink r:id="rId40" w:anchor="a2" w:tooltip="+" w:history="1">
              <w:r>
                <w:rPr>
                  <w:rStyle w:val="a3"/>
                </w:rPr>
                <w:t>ГП</w:t>
              </w:r>
            </w:hyperlink>
            <w:r>
              <w:t>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2015–2016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</w:t>
            </w:r>
            <w:r>
              <w:t>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2 300,0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2 300,0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2 300,0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2 300,0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 xml:space="preserve">89. Разработать ТКП «Биоаналоги (биосимиляры), содержащие моноклональные антитела. Доклинические и клинические исследования» (задание 34 </w:t>
            </w:r>
            <w:hyperlink r:id="rId41" w:anchor="a2" w:tooltip="+" w:history="1">
              <w:r>
                <w:rPr>
                  <w:rStyle w:val="a3"/>
                </w:rPr>
                <w:t>ГП</w:t>
              </w:r>
            </w:hyperlink>
            <w:r>
              <w:t>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2015–2016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3 000,0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 xml:space="preserve">90. Разработать ТКП «Лекарственные средства. Разработка и производство фармацевтических субстанций» (задание 39 </w:t>
            </w:r>
            <w:hyperlink r:id="rId42" w:anchor="a2" w:tooltip="+" w:history="1">
              <w:r>
                <w:rPr>
                  <w:rStyle w:val="a3"/>
                </w:rPr>
                <w:t>ГП</w:t>
              </w:r>
            </w:hyperlink>
            <w:r>
              <w:t>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2015–2016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15 700,0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15 700,0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15 700,0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15 700,0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 xml:space="preserve">91. Разработать ТКП «Биологически аналогичные лекарственные средства (биоаналоги), содержащие альфа и бета-интерфероны. Доклинические и клинические исследования» (задание 35 </w:t>
            </w:r>
            <w:hyperlink r:id="rId43" w:anchor="a2" w:tooltip="+" w:history="1">
              <w:r>
                <w:rPr>
                  <w:rStyle w:val="a3"/>
                </w:rPr>
                <w:t>ГП</w:t>
              </w:r>
            </w:hyperlink>
            <w:r>
              <w:t>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2015–2016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</w:t>
            </w:r>
            <w:r>
              <w:t>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4 500,0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4 500,0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4 500,0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4 500,0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 xml:space="preserve">92. Разработать ТКП «Биологически аналогичные лекарственные средства (биоаналоги), содержащие рекомбинантные эритропоэтины. Доклинические и клинические исследования» (задание 36 </w:t>
            </w:r>
            <w:hyperlink r:id="rId44" w:anchor="a2" w:tooltip="+" w:history="1">
              <w:r>
                <w:rPr>
                  <w:rStyle w:val="a3"/>
                </w:rPr>
                <w:t>ГП</w:t>
              </w:r>
            </w:hyperlink>
            <w:r>
              <w:t>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2015–2016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</w:t>
            </w:r>
            <w:r>
              <w:t>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2 200,0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2 200,0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2 200,0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2 200,0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93. Разработать ТКП «Производство лекарственных средств. Требования к документам по </w:t>
            </w:r>
            <w:r>
              <w:t xml:space="preserve">качеству биологических лекарственных средств, направляемых на клинические испытания» (задание 37 </w:t>
            </w:r>
            <w:hyperlink r:id="rId45" w:anchor="a2" w:tooltip="+" w:history="1">
              <w:r>
                <w:rPr>
                  <w:rStyle w:val="a3"/>
                </w:rPr>
                <w:t>ГП</w:t>
              </w:r>
            </w:hyperlink>
            <w:r>
              <w:t>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2015–2016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6 000,0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6 000,0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 xml:space="preserve">94. Разработать ТКП «Надлежащая производственная практика лекарственных средств, содержащих опасные вещества» (задание 38 </w:t>
            </w:r>
            <w:hyperlink r:id="rId46" w:anchor="a2" w:tooltip="+" w:history="1">
              <w:r>
                <w:rPr>
                  <w:rStyle w:val="a3"/>
                </w:rPr>
                <w:t>ГП</w:t>
              </w:r>
            </w:hyperlink>
            <w:r>
              <w:t>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2015–2016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5 100,0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5 100,0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5 100,0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5 100,0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 xml:space="preserve">95. Разработать ТКП «Производство лекарственных средств. Руководство по установлению допустимых пределов воздействия на здоровье для идентификации рисков при производстве различных лекарственных средств на одном участке» (задание 40 </w:t>
            </w:r>
            <w:hyperlink r:id="rId47" w:anchor="a2" w:tooltip="+" w:history="1">
              <w:r>
                <w:rPr>
                  <w:rStyle w:val="a3"/>
                </w:rPr>
                <w:t>ГП</w:t>
              </w:r>
            </w:hyperlink>
            <w:r>
              <w:t>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2015–2016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7 400,0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7 400,0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7 400,0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7 400,0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96. Актуализировать и </w:t>
            </w:r>
            <w:r>
              <w:t>переработать существующие ТНПА и методические документы по GMP с учетом накопленного опыта применения, изменений в правилах GMP EC, ЕАЭС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2016–2017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45 000,0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35 000,0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45 050,0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35 025,0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10 025,0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96</w:t>
            </w:r>
            <w:r>
              <w:rPr>
                <w:vertAlign w:val="superscript"/>
              </w:rPr>
              <w:t>1</w:t>
            </w:r>
            <w:r>
              <w:t>. Актуализировать и переработать ТКП 199-2009 (09140) «Производство лекарственных средств. Порядок подготовки и контроля чистоты пара, сжатого воздуха и газов»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2019–2020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40 000,0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25 000,0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15 000,0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40 500,0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25 250,0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15 250,0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96</w:t>
            </w:r>
            <w:r>
              <w:rPr>
                <w:vertAlign w:val="superscript"/>
              </w:rPr>
              <w:t>2</w:t>
            </w:r>
            <w:r>
              <w:t>. Актуализировать и </w:t>
            </w:r>
            <w:r>
              <w:t>переработать ТКП 111-2007 (09140) «Спирт этиловый. Правила нормирования расхода на лабораторные и технические нужды»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2019–2020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27 200,0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20 000,0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7 200,0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27 700,0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20 250,0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7 450,0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97. Разработать ТКП «Производство лекарственных средств. Качество трансдермальных пластырей»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2017–2018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25 311,5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14 000,0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11 311,5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25 361,5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14 025,0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11 336,5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97</w:t>
            </w:r>
            <w:r>
              <w:rPr>
                <w:vertAlign w:val="superscript"/>
              </w:rPr>
              <w:t>1</w:t>
            </w:r>
            <w:r>
              <w:t>. Разработать ТКП «Производство лекарственных средств. Валидация процессов производства фармацевтических субстанций, полученных биотехнолог</w:t>
            </w:r>
            <w:r>
              <w:t>ическими способами: данные для представления в регистрационном досье»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2018–2019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32 000,0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18 000,0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14 000,0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1 000,0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33 000,0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18 500,0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14 500,0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97</w:t>
            </w:r>
            <w:r>
              <w:rPr>
                <w:vertAlign w:val="superscript"/>
              </w:rPr>
              <w:t>2</w:t>
            </w:r>
            <w:r>
              <w:t>. Разработать ТКП «Производство лекарственных средств. Модификация теста «Растворение для твердых дозированных лекарственных форм для приема внутрь с обычным высвобождением»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2018–2019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30 000,0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17 000,0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13 000,0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</w:t>
            </w:r>
            <w:r>
              <w:t>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1 000,0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31 000,0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17 500,0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13 500,0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97</w:t>
            </w:r>
            <w:r>
              <w:rPr>
                <w:vertAlign w:val="superscript"/>
              </w:rPr>
              <w:t>3</w:t>
            </w:r>
            <w:r>
              <w:t>. Разработать ТКП «Производство лекарственных средств. Комбинированные лекарственные средства. Доклинические исследования»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2019–2020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33 000,0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18 000,0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15 000,0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1 000,0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34 000,0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18 500,0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15 500,0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97</w:t>
            </w:r>
            <w:r>
              <w:rPr>
                <w:vertAlign w:val="superscript"/>
              </w:rPr>
              <w:t>4</w:t>
            </w:r>
            <w:r>
              <w:t>. Разработать ТКП «Производство лекарственных средств. Оценка фотобезопасности лекарственных средств»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2019–2020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37 000,0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20 000,0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17 000,0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1 000,0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38 000,0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20 500,0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17 500,0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97</w:t>
            </w:r>
            <w:r>
              <w:rPr>
                <w:vertAlign w:val="superscript"/>
              </w:rPr>
              <w:t>5</w:t>
            </w:r>
            <w:r>
              <w:t>. Разработать ТКП «Производство лекарственных средств. Оценка и снижение рисков применения исследуемых лекарственных средств в клинических испытаниях, впервые проводимых у человека»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2019–2021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27 </w:t>
            </w:r>
            <w:r>
              <w:t>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27 000,0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1 000,0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28 000,0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27 500,0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97</w:t>
            </w:r>
            <w:r>
              <w:rPr>
                <w:vertAlign w:val="superscript"/>
              </w:rPr>
              <w:t>6</w:t>
            </w:r>
            <w:r>
              <w:t>. Разработать ТКП «Производство лекарственных средств. Требования к </w:t>
            </w:r>
            <w:r>
              <w:t xml:space="preserve">стерилизации лекарственных средств, активных субстанций, вспомогательных веществ и первичных упаковок»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2020–2022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8 425,0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8 425,0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8 925,0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8 925,0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97</w:t>
            </w:r>
            <w:r>
              <w:rPr>
                <w:vertAlign w:val="superscript"/>
              </w:rPr>
              <w:t>7</w:t>
            </w:r>
            <w:r>
              <w:t>. Разработать ТКП «Производство лекарственных средств. Квалификация элементов холодовой цепи»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2020–2022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8 425,0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8 425,0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8 </w:t>
            </w:r>
            <w:r>
              <w:t>925,0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8 925,0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98. Разработать проект нормативного правового документа для принятия в рамках ЕАЭС «Руководство по фармацевтической разработке лекарственных средств для применения в педиатрической практике»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2017–2021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25 </w:t>
            </w:r>
            <w:r>
              <w:t>311,5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14 000,0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11 311,5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25 361,5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14 025,0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11 336,5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99. Разработать проект нормативного правового документа для принятия в рамках ЕАЭС «Проекты Приложений к </w:t>
            </w:r>
            <w:r>
              <w:t xml:space="preserve">правилам проведений исследования биоэквивалентности воспроизведенных лекарственных средств ЕАЭС по фармакокинетическому и клиническому изучению биоэквивалентности лекарственных препаратов с модифицированным высвобождением, биоэквивалентности липосомальных </w:t>
            </w:r>
            <w:r>
              <w:t>препаратов, биоэквивалентности кортикостероидов для местного применения в дерматологии»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2016–2019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28 000,0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23 000,0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5 000,0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16,0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17,0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28 050,0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23 </w:t>
            </w:r>
            <w:r>
              <w:t>016,0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5 017,0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100. Разработать проект нормативного правового документа для принятия в рамках ЕАЭС «Требования к исследованию стабильности лекарственных препаратов и фармацевтических субстанций»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2016–2018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38 800,0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33 800,0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5 000,0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16,0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17,0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17,0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38 850,0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33 816,0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5 017,0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17,0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101. Разработать проект нормативного правового документа для принятия в рамках ЕАЭС «Требования к </w:t>
            </w:r>
            <w:r>
              <w:t>исследованию стабильности средств из лекарственного растительного сырья»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2017–2021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7 362,4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5 100,0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2 262,4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44,0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16,0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17,0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7 406,4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5 116,0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2 279,4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102. Разработать проект нормативного правового документа для принятия в рамках ЕАЭС «Требования к воде, используемой для производства лекарственных средств»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2016–2018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24 400,0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19 400,0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5 000,0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16,0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17,0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17,0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24 450,0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19 416,0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5 017,0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17,0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103. Разработать проект нормативного правового документа для принятия в рамках ЕАЭС «Руководство по </w:t>
            </w:r>
            <w:r>
              <w:t>валидации процесса производства лекарственных средств»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2016–2018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14 500,0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11 000,0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3 500,0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14 550,0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11 025,0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3 500,0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104. Разработать проекты нормативных правовых документов для принятия в рамках ЕАЭС «Руководство по асептическим процессам в производстве», «Руководство по валидации методик испытаний»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2016–2018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29 800,0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20 800,0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9 000,0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29 850,0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20 825,0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9 000,0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105. Разработать проекты нормативных правовых документов для принятия в рамках ЕАЭС «Правила Надлежащей практики выращивания, сбора, хранени</w:t>
            </w:r>
            <w:r>
              <w:t>я лекарственного растительного сырья (GAСP)», «Требования к показателям качества лекарственных средств из растительного сырья», «Руководство по выбору тестов и критериев приемлемости в спецификациях на лекарственные средства из растительного сырья»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2016–2018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24 700,0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17 000,0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7 700,0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25,0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24 750,0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17 025,0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7 700,0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25,0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106. Разработать проект нормативного правового документа для принятия в рамках ЕАЭС «Руководство по изучению токсичности лекарственных средств при многократном введении»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2016–2020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9 700,0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6 000,0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3 700,0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15,0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15,0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9 750,0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6 015,0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3 715,0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107. Разработать проект нормативного правового документа для принятия в рамках ЕАЭС «Руководство по изучению токсикокинетики: оценк</w:t>
            </w:r>
            <w:r>
              <w:t>а системной экспозиции в токсикологических исследованиях»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2016–2020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13 900,0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9 900,0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4 000,0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15,0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15,0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13 950,0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9 915,0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4 015,0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108. Разработать и обосновать гигиенические нормативы и методики выполнения измерений варфарина натрия и золедроновой кислоты в воздухе рабочей зоны и атмосферном воздухе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2016–2018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192 000,0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96 000,0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96 000,0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</w:t>
            </w:r>
            <w:r>
              <w:t>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8 000,0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4 428,0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3 572,0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200 000,0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100 428,0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99 572,0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108</w:t>
            </w:r>
            <w:r>
              <w:rPr>
                <w:vertAlign w:val="superscript"/>
              </w:rPr>
              <w:t>1</w:t>
            </w:r>
            <w:r>
              <w:t>. Научно обосновать предельно допустимые концентрации и классы опасности фармацевтической субстанции метформина гидрохлорид в </w:t>
            </w:r>
            <w:r>
              <w:t>воздухе рабочей зоны и атмосферном воздухе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2019–2022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90 000,0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40 000,0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50 000,0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12 000,0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12 000,0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102 000,0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40 000,0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62 000,0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108</w:t>
            </w:r>
            <w:r>
              <w:rPr>
                <w:vertAlign w:val="superscript"/>
              </w:rPr>
              <w:t>2</w:t>
            </w:r>
            <w:r>
              <w:t>. Научно обосновать предельно допустимые концентрации и классы опасности фармацевтической субстанции бетагистина дигидрохлорид в воздухе рабочей зоны и атмосферном воздухе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2019–2022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80 000,0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20 000,0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60 000,0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12 000,0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12 000,0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92 000,0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20 000,0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72 000,0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108</w:t>
            </w:r>
            <w:r>
              <w:rPr>
                <w:vertAlign w:val="superscript"/>
              </w:rPr>
              <w:t>3</w:t>
            </w:r>
            <w:r>
              <w:t>. Научно обосновать предельно допустимые концентрации и классы опасности фармацевтической субстанции суматриптана сукцинат в </w:t>
            </w:r>
            <w:r>
              <w:t>воздухе рабочей зоны и атмосферном воздухе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2020–2023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20 000,0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20 000,0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108</w:t>
            </w:r>
            <w:r>
              <w:rPr>
                <w:vertAlign w:val="superscript"/>
              </w:rPr>
              <w:t>4</w:t>
            </w:r>
            <w:r>
              <w:t>. Научно обосновать предельно допустимые концентрации, классы опасности и разработать методики выполнения измерений фармацевтической субстанции левофлоксацин в воздухе рабочей зоны и атмосферном воздухе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2020–2023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40 000,0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40 </w:t>
            </w:r>
            <w:r>
              <w:t>000,0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40 000,0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40 000,0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108</w:t>
            </w:r>
            <w:r>
              <w:rPr>
                <w:vertAlign w:val="superscript"/>
              </w:rPr>
              <w:t>5</w:t>
            </w:r>
            <w:r>
              <w:t>. Разработать методики выполнения измерений фенибута, глибенкламида, аллохола (сумма желчных кислот), амиодарона гидрохлорида, бромгексина гидрохлорида, дротаверина гидрохлорида, индометацина, каптоприла, лоратадина, метронидазола бензоата в воздухе рабоче</w:t>
            </w:r>
            <w:r>
              <w:t>й зоны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2020–2021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31 143,0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31 143,0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1 500,0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1 500,0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32 643,0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32 643,0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108</w:t>
            </w:r>
            <w:r>
              <w:rPr>
                <w:vertAlign w:val="superscript"/>
              </w:rPr>
              <w:t>6</w:t>
            </w:r>
            <w:r>
              <w:t>. Научно обосновать предельно допустимые концентрации (ПДК), классы опасности и разработать методики выполнения измерений фармацевтической субстанции лизиноприла дигидрат в воздухе рабочей зоны и атмосферном воздухе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2020–2022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70 </w:t>
            </w:r>
            <w:r>
              <w:t>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70 000,0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3 465,0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3 465,0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73 465,0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73 465,0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108</w:t>
            </w:r>
            <w:r>
              <w:rPr>
                <w:vertAlign w:val="superscript"/>
              </w:rPr>
              <w:t>7</w:t>
            </w:r>
            <w:r>
              <w:t>. Научно обосновать предельно допустимые концентрации (ПДК), классы опасности и </w:t>
            </w:r>
            <w:r>
              <w:t>разработать методики выполнения измерений фармацевтической субстанции амброксола гидрохлорид в воздухе рабочей зоны и атмосферном воздухе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2020–2022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70 000,0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70 000,0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3 465,0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3 465,0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73 465,0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73 465,0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108</w:t>
            </w:r>
            <w:r>
              <w:rPr>
                <w:vertAlign w:val="superscript"/>
              </w:rPr>
              <w:t>8</w:t>
            </w:r>
            <w:r>
              <w:t>. Научно обосновать предельно допустимые концентрации (ПДК), классы опасности и разработать методики выполнения измерений фармацевтической субстанции амлодипина бесилат в воздухе рабочей зоны и </w:t>
            </w:r>
            <w:r>
              <w:t>атмосферном воздухе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2020–2022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70 000,0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70 000,0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3 465,0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3 465,0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73 465,0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73 465,0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108</w:t>
            </w:r>
            <w:r>
              <w:rPr>
                <w:vertAlign w:val="superscript"/>
              </w:rPr>
              <w:t>9</w:t>
            </w:r>
            <w:r>
              <w:t>. Научно обосновать предельно допустимые концентрации (ПДК), классы опасности и разработать методики выполнения измерений фармацевтической субстанции азитромицин в воздухе рабочей зоны и атмосферном воздухе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2020–2023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54 434,0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54 434,0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2 900,0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2 900,0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57 334,0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57 334,0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108</w:t>
            </w:r>
            <w:r>
              <w:rPr>
                <w:vertAlign w:val="superscript"/>
              </w:rPr>
              <w:t>10</w:t>
            </w:r>
            <w:r>
              <w:t>. Научно обосновать предельно допустимые концентрации, классы опасности и </w:t>
            </w:r>
            <w:r>
              <w:t>разработать методики выполнения измерений фармацевтической субстанции фенилэфрина гидрохлорид в воздухе рабочей зоны и атмосферном воздухе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2020–2023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43 540,0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43 540,0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4 000,</w:t>
            </w:r>
            <w: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4 000,0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47 540,0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47 540,0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109. Разработать и обосновать гигиенические нормативы и методики выполнения измерений гидроксикарбамида и циклофосфамида в воздухе рабочей зоны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2016–2018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156 000,0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78 000,0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78 </w:t>
            </w:r>
            <w:r>
              <w:t>000,0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4 260,0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2 497,0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1 763,0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160 260,0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80 497,0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79 763,0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110. Разработать и </w:t>
            </w:r>
            <w:r>
              <w:t>внедрить технологию установления гигиенических нормативов (ориентировочно безопасных уровней воздействия) и классов опасности лекарственных средств в атмосферном воздухе расчетно-аналитическим методом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2016–2017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72 000,0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36 000,0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36 0</w:t>
            </w:r>
            <w:r>
              <w:t>00,0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210,0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105,0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105,0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72 210,0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36 105,0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36 105,0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111. Обеспечить научно-организационное сопровождение работ по </w:t>
            </w:r>
            <w:hyperlink w:anchor="a18" w:tooltip="+" w:history="1">
              <w:r>
                <w:rPr>
                  <w:rStyle w:val="a3"/>
                </w:rPr>
                <w:t>подпрограмме 2</w:t>
              </w:r>
            </w:hyperlink>
            <w:r>
              <w:t xml:space="preserve"> </w:t>
            </w:r>
            <w:r>
              <w:t>«Нормативная правовая база»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2016–2020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80 023,59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13 023,0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8 880,0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2 694,84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7 830,0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47 595,75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80 023,59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13 023,0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8 880,0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2 694,84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7 830,0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47 595,75</w:t>
            </w:r>
          </w:p>
        </w:tc>
      </w:tr>
      <w:tr w:rsidR="00000000">
        <w:trPr>
          <w:divId w:val="112020439"/>
          <w:trHeight w:val="240"/>
        </w:trPr>
        <w:tc>
          <w:tcPr>
            <w:tcW w:w="152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Всего по </w:t>
            </w:r>
            <w:hyperlink w:anchor="a18" w:tooltip="+" w:history="1">
              <w:r>
                <w:rPr>
                  <w:rStyle w:val="a3"/>
                </w:rPr>
                <w:t>подпрограмме 2</w:t>
              </w:r>
            </w:hyperlink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1 710 034,99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454 331,0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310 492,0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63 786,24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180 848,0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700 577,75</w:t>
            </w:r>
          </w:p>
        </w:tc>
      </w:tr>
      <w:tr w:rsidR="00000000">
        <w:trPr>
          <w:divId w:val="112020439"/>
          <w:trHeight w:val="240"/>
        </w:trPr>
        <w:tc>
          <w:tcPr>
            <w:tcW w:w="15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1 647 175,99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447 123,0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304 880,0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62 580,24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177 830,0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654 762,75</w:t>
            </w:r>
          </w:p>
        </w:tc>
      </w:tr>
      <w:tr w:rsidR="00000000">
        <w:trPr>
          <w:divId w:val="112020439"/>
          <w:trHeight w:val="240"/>
        </w:trPr>
        <w:tc>
          <w:tcPr>
            <w:tcW w:w="15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собственные средства исполнителя (исполнителей)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62 859,0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7 208,0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5 612,0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1 206,0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3 018,0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45 815,0</w:t>
            </w:r>
          </w:p>
        </w:tc>
      </w:tr>
      <w:tr w:rsidR="00000000">
        <w:trPr>
          <w:divId w:val="112020439"/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hyperlink w:anchor="a19" w:tooltip="+" w:history="1">
              <w:r>
                <w:rPr>
                  <w:rStyle w:val="a3"/>
                </w:rPr>
                <w:t>Подпрограмма 3</w:t>
              </w:r>
            </w:hyperlink>
            <w:r>
              <w:t xml:space="preserve"> «Подготовка кадров для фармацевтической отрасли» (задача «Приведение системы комплексной подготовки кадров дл</w:t>
            </w:r>
            <w:r>
              <w:t>я фармацевтической отрасли в соответствие с потребностями фармацевтического сектора экономики»)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112. Осуществить материально-техническое оснащение профильных кафедр фармацевтической технологии, токсикологической и </w:t>
            </w:r>
            <w:r>
              <w:t>аналитической химии, фармацевтической химии и стандартизации фармацевтического факультета УО «БГМУ»</w:t>
            </w:r>
            <w:hyperlink w:anchor="a35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12020439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средства от приносящей доходы деятельности исполнителя (исполнителей) мероприя</w:t>
            </w:r>
            <w:r>
              <w:t>тий – бюджетных организаций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113. Провести анализ кадрового потенциала специалистов с высшим образованием на фармацевтических предприятиях Республики Беларусь</w:t>
            </w:r>
            <w:hyperlink w:anchor="a35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бюджет, средства от приносящей доходы деятельности исполнителя (исполнителей) мероприятий – бюджетных организаций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в пределах выделенных средств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114. Разработать сборник тестовых заданий и ситуационных задач для провизоров фармацевтиче</w:t>
            </w:r>
            <w:r>
              <w:t>ских производств для сдачи экзамена на присвоение квалификационных категорий</w:t>
            </w:r>
            <w:hyperlink w:anchor="a35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00000">
        <w:trPr>
          <w:divId w:val="112020439"/>
          <w:trHeight w:val="240"/>
        </w:trPr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115. Разработать перечень тестовых заданий, ситуационных задач и вопросов устного собеседования для </w:t>
            </w:r>
            <w:r>
              <w:t>сдачи квалификационного экзамена</w:t>
            </w:r>
            <w:hyperlink w:anchor="a35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2016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242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00000">
        <w:trPr>
          <w:divId w:val="112020439"/>
          <w:trHeight w:val="240"/>
        </w:trPr>
        <w:tc>
          <w:tcPr>
            <w:tcW w:w="152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ind w:left="283"/>
            </w:pPr>
            <w:r>
              <w:t>Всего по </w:t>
            </w:r>
            <w:hyperlink w:anchor="a19" w:tooltip="+" w:history="1">
              <w:r>
                <w:rPr>
                  <w:rStyle w:val="a3"/>
                </w:rPr>
                <w:t>подпрограмме 3</w:t>
              </w:r>
            </w:hyperlink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5338A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</w:tbl>
    <w:p w:rsidR="00000000" w:rsidRDefault="0005338A">
      <w:pPr>
        <w:pStyle w:val="newncpi"/>
        <w:divId w:val="112020439"/>
      </w:pPr>
      <w:r>
        <w:t> </w:t>
      </w:r>
    </w:p>
    <w:p w:rsidR="00000000" w:rsidRDefault="0005338A">
      <w:pPr>
        <w:pStyle w:val="snoskiline"/>
        <w:divId w:val="112020439"/>
      </w:pPr>
      <w:r>
        <w:t>______________________________</w:t>
      </w:r>
    </w:p>
    <w:p w:rsidR="00000000" w:rsidRDefault="0005338A">
      <w:pPr>
        <w:pStyle w:val="snoski"/>
        <w:divId w:val="112020439"/>
      </w:pPr>
      <w:bookmarkStart w:id="12" w:name="a29"/>
      <w:bookmarkEnd w:id="12"/>
      <w:r>
        <w:rPr>
          <w:vertAlign w:val="superscript"/>
        </w:rPr>
        <w:t>1</w:t>
      </w:r>
      <w:r>
        <w:t xml:space="preserve"> Количество, наименование и сроки выполнения мероприятий, а также объемы их финансирования могут быть уточнены с учетом результатов проведения государственной научно-технической экспертизы, лимитов средств республиканского б</w:t>
      </w:r>
      <w:r>
        <w:t xml:space="preserve">юджета, ежегодно выделяемых на реализацию Государственной </w:t>
      </w:r>
      <w:hyperlink w:anchor="a3" w:tooltip="+" w:history="1">
        <w:r>
          <w:rPr>
            <w:rStyle w:val="a3"/>
          </w:rPr>
          <w:t>программы</w:t>
        </w:r>
      </w:hyperlink>
      <w:r>
        <w:t>.</w:t>
      </w:r>
    </w:p>
    <w:p w:rsidR="00000000" w:rsidRDefault="0005338A">
      <w:pPr>
        <w:pStyle w:val="snoski"/>
        <w:divId w:val="112020439"/>
      </w:pPr>
      <w:bookmarkStart w:id="13" w:name="a30"/>
      <w:bookmarkEnd w:id="13"/>
      <w:r>
        <w:rPr>
          <w:vertAlign w:val="superscript"/>
        </w:rPr>
        <w:t>2</w:t>
      </w:r>
      <w:r>
        <w:t xml:space="preserve"> Объемы средств республиканского централизованного инновационного фонда ежегодно уточняются в соответствии с законодательством.</w:t>
      </w:r>
    </w:p>
    <w:p w:rsidR="00000000" w:rsidRDefault="0005338A">
      <w:pPr>
        <w:pStyle w:val="snoski"/>
        <w:divId w:val="112020439"/>
      </w:pPr>
      <w:bookmarkStart w:id="14" w:name="a31"/>
      <w:bookmarkEnd w:id="14"/>
      <w:r>
        <w:rPr>
          <w:vertAlign w:val="superscript"/>
        </w:rPr>
        <w:t>3</w:t>
      </w:r>
      <w:r>
        <w:t xml:space="preserve"> Выполнение мероприятий п</w:t>
      </w:r>
      <w:r>
        <w:t xml:space="preserve">риостановлено в рамках Государственной </w:t>
      </w:r>
      <w:hyperlink w:anchor="a3" w:tooltip="+" w:history="1">
        <w:r>
          <w:rPr>
            <w:rStyle w:val="a3"/>
          </w:rPr>
          <w:t>программы</w:t>
        </w:r>
      </w:hyperlink>
      <w:r>
        <w:t xml:space="preserve"> до проведения государственной научно-технической экспертизы.</w:t>
      </w:r>
    </w:p>
    <w:p w:rsidR="00000000" w:rsidRDefault="0005338A">
      <w:pPr>
        <w:pStyle w:val="snoski"/>
        <w:divId w:val="112020439"/>
      </w:pPr>
      <w:bookmarkStart w:id="15" w:name="a35"/>
      <w:bookmarkEnd w:id="15"/>
      <w:r>
        <w:rPr>
          <w:vertAlign w:val="superscript"/>
        </w:rPr>
        <w:t>4</w:t>
      </w:r>
      <w:r>
        <w:t xml:space="preserve"> Мероприятие исключено из Государственной </w:t>
      </w:r>
      <w:hyperlink w:anchor="a3" w:tooltip="+" w:history="1">
        <w:r>
          <w:rPr>
            <w:rStyle w:val="a3"/>
          </w:rPr>
          <w:t>программы</w:t>
        </w:r>
      </w:hyperlink>
      <w:r>
        <w:t xml:space="preserve"> в 2017 году.</w:t>
      </w:r>
    </w:p>
    <w:p w:rsidR="00000000" w:rsidRDefault="0005338A">
      <w:pPr>
        <w:pStyle w:val="snoski"/>
        <w:divId w:val="112020439"/>
      </w:pPr>
      <w:bookmarkStart w:id="16" w:name="a32"/>
      <w:bookmarkEnd w:id="16"/>
      <w:r>
        <w:rPr>
          <w:vertAlign w:val="superscript"/>
        </w:rPr>
        <w:t>5</w:t>
      </w:r>
      <w:r>
        <w:t xml:space="preserve"> </w:t>
      </w:r>
      <w:r>
        <w:t xml:space="preserve">Мероприятие исключено из Государственной </w:t>
      </w:r>
      <w:hyperlink w:anchor="a3" w:tooltip="+" w:history="1">
        <w:r>
          <w:rPr>
            <w:rStyle w:val="a3"/>
          </w:rPr>
          <w:t>программы</w:t>
        </w:r>
      </w:hyperlink>
      <w:r>
        <w:t xml:space="preserve"> в 2018 году.</w:t>
      </w:r>
    </w:p>
    <w:p w:rsidR="00000000" w:rsidRDefault="0005338A">
      <w:pPr>
        <w:pStyle w:val="snoski"/>
        <w:divId w:val="112020439"/>
      </w:pPr>
      <w:bookmarkStart w:id="17" w:name="a33"/>
      <w:bookmarkEnd w:id="17"/>
      <w:r>
        <w:rPr>
          <w:vertAlign w:val="superscript"/>
        </w:rPr>
        <w:t>6</w:t>
      </w:r>
      <w:r>
        <w:t xml:space="preserve"> Мероприятие исключено из Государственной </w:t>
      </w:r>
      <w:hyperlink w:anchor="a3" w:tooltip="+" w:history="1">
        <w:r>
          <w:rPr>
            <w:rStyle w:val="a3"/>
          </w:rPr>
          <w:t>программы</w:t>
        </w:r>
      </w:hyperlink>
      <w:r>
        <w:t xml:space="preserve"> в 2019 году.</w:t>
      </w:r>
    </w:p>
    <w:p w:rsidR="00000000" w:rsidRDefault="0005338A">
      <w:pPr>
        <w:pStyle w:val="snoski"/>
        <w:spacing w:after="240"/>
        <w:divId w:val="112020439"/>
      </w:pPr>
      <w:bookmarkStart w:id="18" w:name="a34"/>
      <w:bookmarkEnd w:id="18"/>
      <w:r>
        <w:rPr>
          <w:vertAlign w:val="superscript"/>
        </w:rPr>
        <w:t>7</w:t>
      </w:r>
      <w:r>
        <w:t xml:space="preserve"> Мероприятие исключено из Государственной </w:t>
      </w:r>
      <w:hyperlink w:anchor="a3" w:tooltip="+" w:history="1">
        <w:r>
          <w:rPr>
            <w:rStyle w:val="a3"/>
          </w:rPr>
          <w:t>программы</w:t>
        </w:r>
      </w:hyperlink>
      <w:r>
        <w:t xml:space="preserve"> в 2020 году.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12020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/>
        </w:tc>
      </w:tr>
    </w:tbl>
    <w:p w:rsidR="00000000" w:rsidRDefault="0005338A">
      <w:pPr>
        <w:divId w:val="11202043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12020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05338A">
      <w:pPr>
        <w:divId w:val="11202043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12020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05338A">
      <w:pPr>
        <w:divId w:val="11202043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12020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05338A">
      <w:pPr>
        <w:divId w:val="11202043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12020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05338A">
      <w:pPr>
        <w:divId w:val="11202043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12020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05338A">
      <w:pPr>
        <w:divId w:val="11202043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12020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05338A">
      <w:pPr>
        <w:divId w:val="11202043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12020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05338A">
      <w:pPr>
        <w:divId w:val="11202043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12020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05338A">
      <w:pPr>
        <w:divId w:val="11202043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12020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5338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5338A" w:rsidRDefault="0005338A">
      <w:pPr>
        <w:divId w:val="112020439"/>
        <w:rPr>
          <w:rFonts w:eastAsia="Times New Roman"/>
        </w:rPr>
      </w:pPr>
    </w:p>
    <w:sectPr w:rsidR="0005338A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4B4F"/>
    <w:rsid w:val="0005338A"/>
    <w:rsid w:val="00787C8F"/>
    <w:rsid w:val="007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8DBC6-FEEF-4547-BBAC-F985A588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Pr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s0">
    <w:name w:val="s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">
    <w:name w:val="s24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">
    <w:name w:val="s25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">
    <w:name w:val="s26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">
    <w:name w:val="s27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">
    <w:name w:val="s2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">
    <w:name w:val="s2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">
    <w:name w:val="s3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">
    <w:name w:val="s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">
    <w:name w:val="s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">
    <w:name w:val="s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">
    <w:name w:val="s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">
    <w:name w:val="s3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3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">
    <w:name w:val="s3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">
    <w:name w:val="s3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">
    <w:name w:val="s40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">
    <w:name w:val="s41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">
    <w:name w:val="s42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">
    <w:name w:val="s43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">
    <w:name w:val="s4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">
    <w:name w:val="s4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">
    <w:name w:val="s4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">
    <w:name w:val="s4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">
    <w:name w:val="s4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">
    <w:name w:val="s5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1">
    <w:name w:val="s5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2">
    <w:name w:val="s52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3">
    <w:name w:val="s53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">
    <w:name w:val="s5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">
    <w:name w:val="s5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6">
    <w:name w:val="s5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7">
    <w:name w:val="s5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8">
    <w:name w:val="s5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9">
    <w:name w:val="s59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0">
    <w:name w:val="s60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1">
    <w:name w:val="s61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2">
    <w:name w:val="s62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3">
    <w:name w:val="s6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4">
    <w:name w:val="s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5">
    <w:name w:val="s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6">
    <w:name w:val="s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7">
    <w:name w:val="s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8">
    <w:name w:val="s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9">
    <w:name w:val="s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0">
    <w:name w:val="s7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1">
    <w:name w:val="s71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2">
    <w:name w:val="s72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3">
    <w:name w:val="s73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4">
    <w:name w:val="s74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5">
    <w:name w:val="s75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6">
    <w:name w:val="s76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7">
    <w:name w:val="s77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8">
    <w:name w:val="s7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9">
    <w:name w:val="s7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0">
    <w:name w:val="s8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1">
    <w:name w:val="s8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2">
    <w:name w:val="s8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3">
    <w:name w:val="s8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4">
    <w:name w:val="s8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5">
    <w:name w:val="s85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6">
    <w:name w:val="s86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7">
    <w:name w:val="s87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8">
    <w:name w:val="s88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9">
    <w:name w:val="s89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0">
    <w:name w:val="s90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1">
    <w:name w:val="s91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2">
    <w:name w:val="s9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3">
    <w:name w:val="s9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4">
    <w:name w:val="s9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5">
    <w:name w:val="s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6">
    <w:name w:val="s9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7">
    <w:name w:val="s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8">
    <w:name w:val="s9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9">
    <w:name w:val="s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0">
    <w:name w:val="s10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1">
    <w:name w:val="s101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2">
    <w:name w:val="s102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3">
    <w:name w:val="s103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4">
    <w:name w:val="s104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5">
    <w:name w:val="s105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6">
    <w:name w:val="s106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7">
    <w:name w:val="s10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8">
    <w:name w:val="s10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9">
    <w:name w:val="s10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0">
    <w:name w:val="s1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1">
    <w:name w:val="s111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2">
    <w:name w:val="s112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3">
    <w:name w:val="s113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4">
    <w:name w:val="s114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5">
    <w:name w:val="s1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6">
    <w:name w:val="s11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7">
    <w:name w:val="s117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8">
    <w:name w:val="s11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9">
    <w:name w:val="s11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0">
    <w:name w:val="s12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1">
    <w:name w:val="s12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2">
    <w:name w:val="s12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3">
    <w:name w:val="s1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4">
    <w:name w:val="s12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5">
    <w:name w:val="s1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6">
    <w:name w:val="s12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7">
    <w:name w:val="s1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8">
    <w:name w:val="s1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9">
    <w:name w:val="s1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0">
    <w:name w:val="s13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1">
    <w:name w:val="s131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2">
    <w:name w:val="s132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3">
    <w:name w:val="s133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4">
    <w:name w:val="s134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5">
    <w:name w:val="s135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6">
    <w:name w:val="s136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7">
    <w:name w:val="s137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8">
    <w:name w:val="s13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9">
    <w:name w:val="s13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0">
    <w:name w:val="s14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1">
    <w:name w:val="s14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2">
    <w:name w:val="s14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3">
    <w:name w:val="s14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4">
    <w:name w:val="s144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5">
    <w:name w:val="s145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6">
    <w:name w:val="s146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7">
    <w:name w:val="s147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8">
    <w:name w:val="s148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9">
    <w:name w:val="s149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0">
    <w:name w:val="s15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1">
    <w:name w:val="s15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2">
    <w:name w:val="s152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3">
    <w:name w:val="s153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4">
    <w:name w:val="s15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5">
    <w:name w:val="s15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6">
    <w:name w:val="s15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7">
    <w:name w:val="s157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8">
    <w:name w:val="s15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9">
    <w:name w:val="s15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0">
    <w:name w:val="s16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1">
    <w:name w:val="s16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2">
    <w:name w:val="s16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3">
    <w:name w:val="s1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4">
    <w:name w:val="s164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5">
    <w:name w:val="s165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6">
    <w:name w:val="s166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7">
    <w:name w:val="s167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8">
    <w:name w:val="s16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9">
    <w:name w:val="s16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0">
    <w:name w:val="s17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1">
    <w:name w:val="s171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2">
    <w:name w:val="s172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3">
    <w:name w:val="s173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4">
    <w:name w:val="s17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5">
    <w:name w:val="s1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6">
    <w:name w:val="s1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7">
    <w:name w:val="s17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8">
    <w:name w:val="s17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9">
    <w:name w:val="s17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0">
    <w:name w:val="s1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1">
    <w:name w:val="s1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2">
    <w:name w:val="s18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3">
    <w:name w:val="s183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4">
    <w:name w:val="s184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5">
    <w:name w:val="s185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6">
    <w:name w:val="s186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7">
    <w:name w:val="s18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8">
    <w:name w:val="s18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9">
    <w:name w:val="s18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0">
    <w:name w:val="s190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1">
    <w:name w:val="s191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2">
    <w:name w:val="s192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3">
    <w:name w:val="s19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4">
    <w:name w:val="s1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5">
    <w:name w:val="s19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6">
    <w:name w:val="s1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7">
    <w:name w:val="s19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8">
    <w:name w:val="s1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9">
    <w:name w:val="s1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0">
    <w:name w:val="s20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1">
    <w:name w:val="s201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2">
    <w:name w:val="s202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3">
    <w:name w:val="s203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4">
    <w:name w:val="s204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5">
    <w:name w:val="s205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6">
    <w:name w:val="s20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7">
    <w:name w:val="s20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8">
    <w:name w:val="s20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9">
    <w:name w:val="s20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0">
    <w:name w:val="s2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1">
    <w:name w:val="s211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2">
    <w:name w:val="s212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3">
    <w:name w:val="s213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4">
    <w:name w:val="s214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5">
    <w:name w:val="s215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6">
    <w:name w:val="s216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7">
    <w:name w:val="s217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8">
    <w:name w:val="s21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9">
    <w:name w:val="s21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0">
    <w:name w:val="s22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1">
    <w:name w:val="s22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2">
    <w:name w:val="s22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3">
    <w:name w:val="s2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4">
    <w:name w:val="s22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5">
    <w:name w:val="s2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6">
    <w:name w:val="s22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7">
    <w:name w:val="s2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8">
    <w:name w:val="s2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9">
    <w:name w:val="s2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0">
    <w:name w:val="s23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1">
    <w:name w:val="s231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2">
    <w:name w:val="s232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3">
    <w:name w:val="s233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4">
    <w:name w:val="s234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5">
    <w:name w:val="s235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6">
    <w:name w:val="s236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7">
    <w:name w:val="s237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8">
    <w:name w:val="s23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9">
    <w:name w:val="s23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0">
    <w:name w:val="s24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1">
    <w:name w:val="s24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2">
    <w:name w:val="s24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3">
    <w:name w:val="s24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4">
    <w:name w:val="s244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5">
    <w:name w:val="s245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6">
    <w:name w:val="s246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7">
    <w:name w:val="s247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8">
    <w:name w:val="s248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9">
    <w:name w:val="s249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0">
    <w:name w:val="s25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1">
    <w:name w:val="s251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2">
    <w:name w:val="s252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3">
    <w:name w:val="s253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4">
    <w:name w:val="s25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5">
    <w:name w:val="s25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6">
    <w:name w:val="s25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7">
    <w:name w:val="s257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8">
    <w:name w:val="s25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9">
    <w:name w:val="s25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0">
    <w:name w:val="s26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1">
    <w:name w:val="s26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2">
    <w:name w:val="s26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3">
    <w:name w:val="s2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4">
    <w:name w:val="s26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5">
    <w:name w:val="s2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6">
    <w:name w:val="s2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7">
    <w:name w:val="s26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8">
    <w:name w:val="s26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9">
    <w:name w:val="s26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0">
    <w:name w:val="s27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1">
    <w:name w:val="s27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2">
    <w:name w:val="s27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3">
    <w:name w:val="s27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4">
    <w:name w:val="s27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5">
    <w:name w:val="s275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6">
    <w:name w:val="s276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7">
    <w:name w:val="s277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8">
    <w:name w:val="s278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9">
    <w:name w:val="s279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0">
    <w:name w:val="s280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1">
    <w:name w:val="s281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2">
    <w:name w:val="s282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3">
    <w:name w:val="s283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4">
    <w:name w:val="s284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5">
    <w:name w:val="s285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6">
    <w:name w:val="s286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7">
    <w:name w:val="s287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8">
    <w:name w:val="s28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9">
    <w:name w:val="s28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0">
    <w:name w:val="s29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1">
    <w:name w:val="s29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2">
    <w:name w:val="s292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3">
    <w:name w:val="s293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4">
    <w:name w:val="s29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5">
    <w:name w:val="s29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6">
    <w:name w:val="s29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7">
    <w:name w:val="s29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8">
    <w:name w:val="s298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9">
    <w:name w:val="s299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0">
    <w:name w:val="s300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1">
    <w:name w:val="s30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2">
    <w:name w:val="s30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3">
    <w:name w:val="s3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4">
    <w:name w:val="s3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5">
    <w:name w:val="s30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6">
    <w:name w:val="s30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7">
    <w:name w:val="s3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8">
    <w:name w:val="s3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9">
    <w:name w:val="s30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0">
    <w:name w:val="s3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1">
    <w:name w:val="s3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2">
    <w:name w:val="s3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3">
    <w:name w:val="s3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4">
    <w:name w:val="s3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5">
    <w:name w:val="s3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6">
    <w:name w:val="s316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7">
    <w:name w:val="s317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8">
    <w:name w:val="s318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9">
    <w:name w:val="s319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0">
    <w:name w:val="s320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1">
    <w:name w:val="s321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2">
    <w:name w:val="s322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3">
    <w:name w:val="s323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4">
    <w:name w:val="s324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5">
    <w:name w:val="s325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6">
    <w:name w:val="s32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7">
    <w:name w:val="s327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8">
    <w:name w:val="s32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9">
    <w:name w:val="s32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0">
    <w:name w:val="s33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1">
    <w:name w:val="s33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2">
    <w:name w:val="s33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3">
    <w:name w:val="s33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4">
    <w:name w:val="s334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5">
    <w:name w:val="s335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6">
    <w:name w:val="s336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7">
    <w:name w:val="s337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8">
    <w:name w:val="s33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9">
    <w:name w:val="s3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0">
    <w:name w:val="s3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1">
    <w:name w:val="s3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2">
    <w:name w:val="s34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3">
    <w:name w:val="s34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4">
    <w:name w:val="s34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5">
    <w:name w:val="s34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6">
    <w:name w:val="s34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7">
    <w:name w:val="s347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8">
    <w:name w:val="s348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9">
    <w:name w:val="s349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0">
    <w:name w:val="s350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1">
    <w:name w:val="s351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2">
    <w:name w:val="s352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3">
    <w:name w:val="s353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4">
    <w:name w:val="s35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5">
    <w:name w:val="s35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6">
    <w:name w:val="s356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7">
    <w:name w:val="s357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8">
    <w:name w:val="s35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9">
    <w:name w:val="s35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0">
    <w:name w:val="s36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1">
    <w:name w:val="s36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2">
    <w:name w:val="s362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3">
    <w:name w:val="s363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4">
    <w:name w:val="s36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5">
    <w:name w:val="s3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6">
    <w:name w:val="s3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7">
    <w:name w:val="s36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8">
    <w:name w:val="s36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9">
    <w:name w:val="s36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0">
    <w:name w:val="s37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1">
    <w:name w:val="s37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2">
    <w:name w:val="s37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3">
    <w:name w:val="s37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4">
    <w:name w:val="s374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5">
    <w:name w:val="s375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6">
    <w:name w:val="s376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7">
    <w:name w:val="s377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8">
    <w:name w:val="s378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9">
    <w:name w:val="s379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0">
    <w:name w:val="s38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1">
    <w:name w:val="s38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2">
    <w:name w:val="s382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3">
    <w:name w:val="s383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4">
    <w:name w:val="s38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5">
    <w:name w:val="s38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6">
    <w:name w:val="s38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7">
    <w:name w:val="s387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8">
    <w:name w:val="s388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9">
    <w:name w:val="s38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0">
    <w:name w:val="s3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1">
    <w:name w:val="s3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2">
    <w:name w:val="s39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3">
    <w:name w:val="s3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4">
    <w:name w:val="s3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5">
    <w:name w:val="s3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6">
    <w:name w:val="s39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7">
    <w:name w:val="s39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8">
    <w:name w:val="s39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9">
    <w:name w:val="s39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0">
    <w:name w:val="s40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1">
    <w:name w:val="s40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2">
    <w:name w:val="s40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3">
    <w:name w:val="s403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4">
    <w:name w:val="s404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5">
    <w:name w:val="s405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6">
    <w:name w:val="s406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7">
    <w:name w:val="s407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8">
    <w:name w:val="s408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9">
    <w:name w:val="s409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0">
    <w:name w:val="s410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1">
    <w:name w:val="s411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2">
    <w:name w:val="s412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3">
    <w:name w:val="s413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4">
    <w:name w:val="s41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5">
    <w:name w:val="s41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6">
    <w:name w:val="s41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7">
    <w:name w:val="s417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8">
    <w:name w:val="s41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9">
    <w:name w:val="s41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0">
    <w:name w:val="s42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1">
    <w:name w:val="s421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2">
    <w:name w:val="s422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3">
    <w:name w:val="s42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4">
    <w:name w:val="s4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5">
    <w:name w:val="s4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6">
    <w:name w:val="s4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7">
    <w:name w:val="s42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8">
    <w:name w:val="s4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9">
    <w:name w:val="s42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0">
    <w:name w:val="s4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1">
    <w:name w:val="s43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2">
    <w:name w:val="s43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3">
    <w:name w:val="s43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4">
    <w:name w:val="s43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5">
    <w:name w:val="s43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6">
    <w:name w:val="s43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7">
    <w:name w:val="s43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8">
    <w:name w:val="s43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9">
    <w:name w:val="s439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0">
    <w:name w:val="s440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1">
    <w:name w:val="s441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2">
    <w:name w:val="s442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3">
    <w:name w:val="s443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4">
    <w:name w:val="s444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5">
    <w:name w:val="s445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6">
    <w:name w:val="s446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7">
    <w:name w:val="s447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8">
    <w:name w:val="s448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9">
    <w:name w:val="s449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0">
    <w:name w:val="s450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1">
    <w:name w:val="s451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2">
    <w:name w:val="s452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3">
    <w:name w:val="s453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4">
    <w:name w:val="s45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5">
    <w:name w:val="s45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6">
    <w:name w:val="s45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7">
    <w:name w:val="s457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8">
    <w:name w:val="s45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9">
    <w:name w:val="s45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0">
    <w:name w:val="s46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1">
    <w:name w:val="s46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">
    <w:name w:val="s3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">
    <w:name w:val="s4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043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file:///C:\Users\User\Downloads\tx.dll%3fd=175838&amp;a=2" TargetMode="External"/><Relationship Id="rId26" Type="http://schemas.openxmlformats.org/officeDocument/2006/relationships/hyperlink" Target="file:///C:\Users\User\Downloads\tx.dll%3fd=339739&amp;a=11" TargetMode="External"/><Relationship Id="rId39" Type="http://schemas.openxmlformats.org/officeDocument/2006/relationships/hyperlink" Target="file:///C:\Users\User\Downloads\tx.dll%3fd=175838&amp;a=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ownloads\tx.dll%3fd=339739&amp;a=11" TargetMode="External"/><Relationship Id="rId34" Type="http://schemas.openxmlformats.org/officeDocument/2006/relationships/hyperlink" Target="file:///C:\Users\User\Downloads\tx.dll%3fd=175838&amp;a=2" TargetMode="External"/><Relationship Id="rId42" Type="http://schemas.openxmlformats.org/officeDocument/2006/relationships/hyperlink" Target="file:///C:\Users\User\Downloads\tx.dll%3fd=175838&amp;a=2" TargetMode="External"/><Relationship Id="rId47" Type="http://schemas.openxmlformats.org/officeDocument/2006/relationships/hyperlink" Target="file:///C:\Users\User\Downloads\tx.dll%3fd=175838&amp;a=2" TargetMode="External"/><Relationship Id="rId7" Type="http://schemas.openxmlformats.org/officeDocument/2006/relationships/hyperlink" Target="file:///C:\Users\User\Downloads\tx.dll%3fd=413987&amp;a=2" TargetMode="External"/><Relationship Id="rId12" Type="http://schemas.openxmlformats.org/officeDocument/2006/relationships/hyperlink" Target="file:///C:\Users\User\Downloads\tx.dll%3fd=101393&amp;a=52" TargetMode="External"/><Relationship Id="rId17" Type="http://schemas.openxmlformats.org/officeDocument/2006/relationships/hyperlink" Target="file:///C:\Users\User\Downloads\tx.dll%3fd=173309&amp;a=3" TargetMode="External"/><Relationship Id="rId25" Type="http://schemas.openxmlformats.org/officeDocument/2006/relationships/hyperlink" Target="file:///C:\Users\User\Downloads\tx.dll%3fd=339739&amp;a=11" TargetMode="External"/><Relationship Id="rId33" Type="http://schemas.openxmlformats.org/officeDocument/2006/relationships/hyperlink" Target="file:///C:\Users\User\Downloads\tx.dll%3fd=175838&amp;a=2" TargetMode="External"/><Relationship Id="rId38" Type="http://schemas.openxmlformats.org/officeDocument/2006/relationships/hyperlink" Target="file:///C:\Users\User\Downloads\tx.dll%3fd=175838&amp;a=2" TargetMode="External"/><Relationship Id="rId46" Type="http://schemas.openxmlformats.org/officeDocument/2006/relationships/hyperlink" Target="file:///C:\Users\User\Downloads\tx.dll%3fd=175838&amp;a=2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205626&amp;a=20" TargetMode="External"/><Relationship Id="rId20" Type="http://schemas.openxmlformats.org/officeDocument/2006/relationships/hyperlink" Target="file:///C:\Users\User\Downloads\tx.dll%3fd=205626&amp;a=20" TargetMode="External"/><Relationship Id="rId29" Type="http://schemas.openxmlformats.org/officeDocument/2006/relationships/hyperlink" Target="file:///C:\Users\User\Downloads\tx.dll%3fd=339739&amp;a=11" TargetMode="External"/><Relationship Id="rId41" Type="http://schemas.openxmlformats.org/officeDocument/2006/relationships/hyperlink" Target="file:///C:\Users\User\Downloads\tx.dll%3fd=175838&amp;a=2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388712&amp;a=2" TargetMode="External"/><Relationship Id="rId11" Type="http://schemas.openxmlformats.org/officeDocument/2006/relationships/hyperlink" Target="file:///C:\Users\User\Downloads\tx.dll%3fd=236215&amp;a=5" TargetMode="External"/><Relationship Id="rId24" Type="http://schemas.openxmlformats.org/officeDocument/2006/relationships/hyperlink" Target="file:///C:\Users\User\Downloads\tx.dll%3fd=339739&amp;a=11" TargetMode="External"/><Relationship Id="rId32" Type="http://schemas.openxmlformats.org/officeDocument/2006/relationships/hyperlink" Target="file:///C:\Users\User\Downloads\tx.dll%3fd=175838&amp;a=2" TargetMode="External"/><Relationship Id="rId37" Type="http://schemas.openxmlformats.org/officeDocument/2006/relationships/hyperlink" Target="file:///C:\Users\User\Downloads\tx.dll%3fd=175838&amp;a=2" TargetMode="External"/><Relationship Id="rId40" Type="http://schemas.openxmlformats.org/officeDocument/2006/relationships/hyperlink" Target="file:///C:\Users\User\Downloads\tx.dll%3fd=175838&amp;a=2" TargetMode="External"/><Relationship Id="rId45" Type="http://schemas.openxmlformats.org/officeDocument/2006/relationships/hyperlink" Target="file:///C:\Users\User\Downloads\tx.dll%3fd=175838&amp;a=2" TargetMode="External"/><Relationship Id="rId5" Type="http://schemas.openxmlformats.org/officeDocument/2006/relationships/hyperlink" Target="file:///C:\Users\User\Downloads\tx.dll%3fd=356203&amp;a=2" TargetMode="External"/><Relationship Id="rId15" Type="http://schemas.openxmlformats.org/officeDocument/2006/relationships/hyperlink" Target="file:///C:\Users\User\Downloads\tx.dll%3fd=305697&amp;a=7" TargetMode="External"/><Relationship Id="rId23" Type="http://schemas.openxmlformats.org/officeDocument/2006/relationships/hyperlink" Target="file:///C:\Users\User\Downloads\tx.dll%3fd=339739&amp;a=11" TargetMode="External"/><Relationship Id="rId28" Type="http://schemas.openxmlformats.org/officeDocument/2006/relationships/hyperlink" Target="file:///C:\Users\User\Downloads\tx.dll%3fd=339739&amp;a=11" TargetMode="External"/><Relationship Id="rId36" Type="http://schemas.openxmlformats.org/officeDocument/2006/relationships/hyperlink" Target="file:///C:\Users\User\Downloads\tx.dll%3fd=175838&amp;a=2" TargetMode="External"/><Relationship Id="rId49" Type="http://schemas.openxmlformats.org/officeDocument/2006/relationships/theme" Target="theme/theme1.xml"/><Relationship Id="rId10" Type="http://schemas.openxmlformats.org/officeDocument/2006/relationships/hyperlink" Target="file:///C:\Users\User\Downloads\tx.dll%3fd=298251&amp;a=1" TargetMode="External"/><Relationship Id="rId19" Type="http://schemas.openxmlformats.org/officeDocument/2006/relationships/hyperlink" Target="file:///C:\Users\User\Downloads\tx.dll%3fd=189306&amp;a=24" TargetMode="External"/><Relationship Id="rId31" Type="http://schemas.openxmlformats.org/officeDocument/2006/relationships/hyperlink" Target="file:///C:\Users\User\Downloads\tx.dll%3fd=175838&amp;a=2" TargetMode="External"/><Relationship Id="rId44" Type="http://schemas.openxmlformats.org/officeDocument/2006/relationships/hyperlink" Target="file:///C:\Users\User\Downloads\tx.dll%3fd=175838&amp;a=2" TargetMode="External"/><Relationship Id="rId4" Type="http://schemas.openxmlformats.org/officeDocument/2006/relationships/hyperlink" Target="file:///C:\Users\User\Downloads\tx.dll%3fd=333642&amp;a=2" TargetMode="External"/><Relationship Id="rId9" Type="http://schemas.openxmlformats.org/officeDocument/2006/relationships/hyperlink" Target="file:///C:\Users\User\Downloads\tx.dll%3fd=300414&amp;a=2" TargetMode="External"/><Relationship Id="rId14" Type="http://schemas.openxmlformats.org/officeDocument/2006/relationships/image" Target="media/image2.png"/><Relationship Id="rId22" Type="http://schemas.openxmlformats.org/officeDocument/2006/relationships/hyperlink" Target="file:///C:\Users\User\Downloads\tx.dll%3fd=339739&amp;a=11" TargetMode="External"/><Relationship Id="rId27" Type="http://schemas.openxmlformats.org/officeDocument/2006/relationships/hyperlink" Target="file:///C:\Users\User\Downloads\tx.dll%3fd=339739&amp;a=11" TargetMode="External"/><Relationship Id="rId30" Type="http://schemas.openxmlformats.org/officeDocument/2006/relationships/hyperlink" Target="file:///C:\Users\User\Downloads\tx.dll%3fd=339739&amp;a=11" TargetMode="External"/><Relationship Id="rId35" Type="http://schemas.openxmlformats.org/officeDocument/2006/relationships/hyperlink" Target="file:///C:\Users\User\Downloads\tx.dll%3fd=175838&amp;a=2" TargetMode="External"/><Relationship Id="rId43" Type="http://schemas.openxmlformats.org/officeDocument/2006/relationships/hyperlink" Target="file:///C:\Users\User\Downloads\tx.dll%3fd=175838&amp;a=2" TargetMode="External"/><Relationship Id="rId48" Type="http://schemas.openxmlformats.org/officeDocument/2006/relationships/fontTable" Target="fontTable.xml"/><Relationship Id="rId8" Type="http://schemas.openxmlformats.org/officeDocument/2006/relationships/hyperlink" Target="file:///C:\Users\User\Downloads\tx.dll%3fd=442569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18436</Words>
  <Characters>105091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2022-05-24T15:03:00Z</dcterms:created>
  <dcterms:modified xsi:type="dcterms:W3CDTF">2022-05-24T15:03:00Z</dcterms:modified>
</cp:coreProperties>
</file>