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sz w:val="28"/>
          <w:szCs w:val="28"/>
        </w:rPr>
      </w:pPr>
      <w:bookmarkStart w:id="0" w:name="_Toc278884149"/>
      <w:bookmarkStart w:id="1" w:name="_Toc291499130"/>
      <w:bookmarkStart w:id="2" w:name="_Toc291498741"/>
      <w:bookmarkStart w:id="3" w:name="_Toc286911627"/>
      <w:r>
        <w:rPr>
          <w:rFonts w:ascii="Times New Roman" w:eastAsia="MS Mincho" w:hAnsi="Times New Roman"/>
          <w:b/>
          <w:sz w:val="24"/>
        </w:rPr>
        <w:tab/>
      </w:r>
      <w:r w:rsidRPr="00454C03">
        <w:rPr>
          <w:rFonts w:ascii="Times New Roman" w:eastAsia="MS Mincho" w:hAnsi="Times New Roman"/>
          <w:sz w:val="28"/>
          <w:szCs w:val="28"/>
        </w:rPr>
        <w:t>УЧРЕЖДЕНИЕ ОБРАЗОВАНИЯ</w:t>
      </w:r>
    </w:p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ВИТЕБСКИЙ ГОСУДАРСТВЕННЫЙ ОРДЕНА ДРУЖБЫ НАРОДОВ</w:t>
      </w:r>
    </w:p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МЕДИЦИНСКИЙ УНИВЕРСИТЕТ</w:t>
      </w:r>
    </w:p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Кафедра общей врачебной практики</w:t>
      </w:r>
    </w:p>
    <w:p w:rsidR="00454C03" w:rsidRPr="00454C03" w:rsidRDefault="00454C03" w:rsidP="00454C03">
      <w:pPr>
        <w:pStyle w:val="afa"/>
        <w:jc w:val="center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454C03" w:rsidRPr="00454C03" w:rsidRDefault="00454C03" w:rsidP="00454C03">
      <w:pPr>
        <w:pStyle w:val="afa"/>
        <w:ind w:left="5812"/>
        <w:rPr>
          <w:rFonts w:ascii="Times New Roman" w:eastAsia="MS Mincho" w:hAnsi="Times New Roman"/>
          <w:sz w:val="28"/>
          <w:szCs w:val="28"/>
        </w:rPr>
      </w:pPr>
    </w:p>
    <w:p w:rsidR="00454C03" w:rsidRPr="00454C03" w:rsidRDefault="00454C03" w:rsidP="00454C03">
      <w:pPr>
        <w:pStyle w:val="afa"/>
        <w:ind w:left="5812"/>
        <w:rPr>
          <w:rFonts w:ascii="Times New Roman" w:eastAsia="MS Mincho" w:hAnsi="Times New Roman"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УТВЕРЖДАЮ</w:t>
      </w:r>
    </w:p>
    <w:p w:rsidR="00454C03" w:rsidRPr="00454C03" w:rsidRDefault="00454C03" w:rsidP="00454C03">
      <w:pPr>
        <w:pStyle w:val="afa"/>
        <w:ind w:left="5812"/>
        <w:rPr>
          <w:rFonts w:ascii="Times New Roman" w:eastAsia="MS Mincho" w:hAnsi="Times New Roman"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Зав. кафедрой, д.м.н., профессор</w:t>
      </w:r>
    </w:p>
    <w:p w:rsidR="00454C03" w:rsidRPr="00454C03" w:rsidRDefault="00454C03" w:rsidP="00454C03">
      <w:pPr>
        <w:pStyle w:val="afa"/>
        <w:tabs>
          <w:tab w:val="left" w:pos="3751"/>
          <w:tab w:val="right" w:pos="9600"/>
        </w:tabs>
        <w:ind w:left="5812"/>
        <w:rPr>
          <w:rFonts w:ascii="Times New Roman" w:eastAsia="MS Mincho" w:hAnsi="Times New Roman"/>
          <w:sz w:val="28"/>
          <w:szCs w:val="28"/>
        </w:rPr>
      </w:pPr>
      <w:r w:rsidRPr="00454C03">
        <w:rPr>
          <w:rFonts w:ascii="Times New Roman" w:eastAsia="MS Mincho" w:hAnsi="Times New Roman"/>
          <w:sz w:val="28"/>
          <w:szCs w:val="28"/>
        </w:rPr>
        <w:t>_______________Л.Р. Выхристенко</w:t>
      </w:r>
      <w:r w:rsidRPr="00454C03">
        <w:rPr>
          <w:rFonts w:ascii="Times New Roman" w:eastAsia="MS Mincho" w:hAnsi="Times New Roman"/>
          <w:sz w:val="28"/>
          <w:szCs w:val="28"/>
        </w:rPr>
        <w:tab/>
        <w:t xml:space="preserve">                           </w:t>
      </w:r>
    </w:p>
    <w:p w:rsidR="00454C03" w:rsidRPr="00454C03" w:rsidRDefault="00454C03" w:rsidP="00454C03">
      <w:pPr>
        <w:ind w:left="5812"/>
        <w:rPr>
          <w:rFonts w:eastAsia="MS Mincho"/>
          <w:sz w:val="28"/>
          <w:szCs w:val="28"/>
        </w:rPr>
      </w:pPr>
      <w:r w:rsidRPr="00454C03">
        <w:rPr>
          <w:rFonts w:ascii="Times New Roman" w:hAnsi="Times New Roman"/>
          <w:sz w:val="28"/>
          <w:szCs w:val="28"/>
        </w:rPr>
        <w:t>Протокол № 1</w:t>
      </w:r>
      <w:r w:rsidR="000878A2">
        <w:rPr>
          <w:rFonts w:ascii="Times New Roman" w:hAnsi="Times New Roman"/>
          <w:sz w:val="28"/>
          <w:szCs w:val="28"/>
        </w:rPr>
        <w:t xml:space="preserve">6 </w:t>
      </w:r>
      <w:r w:rsidRPr="00454C03">
        <w:rPr>
          <w:rFonts w:ascii="Times New Roman" w:hAnsi="Times New Roman"/>
          <w:sz w:val="28"/>
          <w:szCs w:val="28"/>
        </w:rPr>
        <w:t xml:space="preserve"> от </w:t>
      </w:r>
      <w:r w:rsidRPr="00454C03">
        <w:rPr>
          <w:rFonts w:ascii="Times New Roman" w:eastAsia="MS Mincho" w:hAnsi="Times New Roman"/>
          <w:sz w:val="28"/>
          <w:szCs w:val="28"/>
        </w:rPr>
        <w:t>«2</w:t>
      </w:r>
      <w:r w:rsidR="000878A2">
        <w:rPr>
          <w:rFonts w:ascii="Times New Roman" w:eastAsia="MS Mincho" w:hAnsi="Times New Roman"/>
          <w:sz w:val="28"/>
          <w:szCs w:val="28"/>
        </w:rPr>
        <w:t>3</w:t>
      </w:r>
      <w:r w:rsidRPr="00454C03">
        <w:rPr>
          <w:rFonts w:ascii="Times New Roman" w:eastAsia="MS Mincho" w:hAnsi="Times New Roman"/>
          <w:sz w:val="28"/>
          <w:szCs w:val="28"/>
        </w:rPr>
        <w:t>» апреля 202</w:t>
      </w:r>
      <w:r w:rsidR="000878A2">
        <w:rPr>
          <w:rFonts w:ascii="Times New Roman" w:eastAsia="MS Mincho" w:hAnsi="Times New Roman"/>
          <w:sz w:val="28"/>
          <w:szCs w:val="28"/>
        </w:rPr>
        <w:t>4</w:t>
      </w:r>
      <w:r w:rsidRPr="00454C03">
        <w:rPr>
          <w:rFonts w:ascii="Times New Roman" w:eastAsia="MS Mincho" w:hAnsi="Times New Roman"/>
          <w:sz w:val="28"/>
          <w:szCs w:val="28"/>
        </w:rPr>
        <w:t xml:space="preserve"> г.</w:t>
      </w:r>
    </w:p>
    <w:p w:rsidR="00454C03" w:rsidRDefault="00454C03" w:rsidP="00A452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4C03" w:rsidRPr="00454C03" w:rsidRDefault="00454C03" w:rsidP="00A452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4C03" w:rsidRPr="00454C03" w:rsidRDefault="00454C03" w:rsidP="00A452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15B0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2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Энтеропатии</w:t>
      </w:r>
      <w:r w:rsid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878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C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пределение, этиология, патогенез, классификация, роль избыточного бактериального роста в кишечнике, энзимопатии, клинические проявления. Основные синдромы при энтеропатии: недостаточности пищеварения, недостаточности всасывания, экссудативной энтеропатии. </w:t>
      </w:r>
    </w:p>
    <w:p w:rsidR="00A452C3" w:rsidRPr="00A452C3" w:rsidRDefault="003C15B0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Энтеропатии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 энтеропатии (эндоскопические, морфологические, рентгенологические, функциональные методы исследования процессов всасывания), изменения лабораторных показателей, дифференциальная диагностика. Лечение энтеропатии: диета, антибактериальная терапия, пробиотики и пребиотики, ферментная терапия, регуляторы моторно-эвакуаторной функции кишечника.</w:t>
      </w:r>
    </w:p>
    <w:p w:rsidR="003C15B0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Язвенный колит</w:t>
      </w:r>
      <w:r w:rsidR="00401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3C15B0"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пределение, распространенность, этиология и патогенез, классификация, клинические проявления, внекишечные проявления. </w:t>
      </w:r>
    </w:p>
    <w:p w:rsidR="003C15B0" w:rsidRDefault="003C15B0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Язвенный колит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методы диагностики язвенного колита: эндоскопический, морфологический, рентгенологический, ультразвуковой. Критерии активности язвенного колита, осложнения. </w:t>
      </w:r>
    </w:p>
    <w:p w:rsidR="00A452C3" w:rsidRDefault="003C15B0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Язвенный колит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язвенного колита: диета, базисная (индукционная и поддерживающая) терапия в зависимости от протяженности и степени активности (производные 5-аминосалициловой кислоты, глюкокортикоиды, иммунодепрессанты, моноклональные антитела), симптоматические лекарственные средства, показания к хирургическому лечению.</w:t>
      </w:r>
    </w:p>
    <w:p w:rsidR="003C15B0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Болезнь Крона</w:t>
      </w:r>
      <w:r w:rsid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пределение, распространенность, этиология и патогенез, классификация, клинические проявления, внекишечные проявления. </w:t>
      </w:r>
    </w:p>
    <w:p w:rsidR="003C15B0" w:rsidRDefault="003C15B0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Болезнь Крона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методы диагностики болезни Крона: эндоскопический, морфологический, рентгенологический, ультразвуковой. Критерии активности болезни Крона, осложнения. </w:t>
      </w:r>
    </w:p>
    <w:p w:rsidR="00A452C3" w:rsidRPr="00A452C3" w:rsidRDefault="003C15B0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Болезнь Крона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болезни Крона: диета, базисная (индукционная и поддерживающая) терапия в зависимости от протяженности и степени активности (производные 5-аминосалициловой кислоты, глюкокортикоиды, 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иммунодепрессанты, моноклональные антитела), симптоматические лекарственные средства, показания к хирургическому лечению</w:t>
      </w:r>
    </w:p>
    <w:p w:rsidR="00A452C3" w:rsidRPr="00A452C3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Колиты с известной этиологией: ишемический, радиационный, антибиотико-ассоциированный (псевдомембранозный). Редкие формы колитов (микроскопические колиты): коллагеновый и лимфоцитарный.</w:t>
      </w:r>
    </w:p>
    <w:p w:rsidR="0094339C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Синдром раздраженного кишечника: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определение, распространенность, этиология и патогенез, патофизиология. Клинические проявления и диагностические критерии основных вариантов синдрома раздраженного кишечника: с преобладанием запоров, диареи, смешанного и неспецифического. </w:t>
      </w:r>
    </w:p>
    <w:p w:rsidR="00A452C3" w:rsidRPr="00A452C3" w:rsidRDefault="0094339C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Синдром раздраженного кишечника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синдрома раздраженного кишечника: диета, воздействие на психоэмоциональную сферу, купирование болевого синдрома, коррекция нарушенных функций кишечника. Профилактика синдрома раздраженного кишечника в группах риска.</w:t>
      </w:r>
    </w:p>
    <w:bookmarkEnd w:id="0"/>
    <w:bookmarkEnd w:id="1"/>
    <w:bookmarkEnd w:id="2"/>
    <w:bookmarkEnd w:id="3"/>
    <w:p w:rsidR="0094339C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Функциональные билиарные расстройства: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причины развития, патогенез, классификация, клинические проявления</w:t>
      </w:r>
      <w:r w:rsid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иагностические критерии</w:t>
      </w:r>
      <w:r w:rsid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2C3" w:rsidRPr="00A452C3" w:rsidRDefault="0094339C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Функциональные билиарные расстройства: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 лечение функционального расстройства желчного пузыря, функционального билиарного и панкреатического расстройства сфинктера Одди. </w:t>
      </w:r>
    </w:p>
    <w:p w:rsidR="0094339C" w:rsidRDefault="00A452C3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панкреатит</w:t>
      </w:r>
      <w:r w:rsidRPr="00A45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определение, этиологические факторы, патогенез, классификация, клиническая картина, критерии тяжести хронического панкреатита. </w:t>
      </w:r>
    </w:p>
    <w:p w:rsidR="0094339C" w:rsidRDefault="0094339C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панкреатит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и инструментальные методы диагностики хронического панкреатита: динамика ферментов (р-амилазы, липазы, эластазы), копрологическое исследование, УЗИ, эндоскопическая ультрасонография, фиброгастродуоденоскопия, КТ, магнитно-резонансная холангиопанкреатография. </w:t>
      </w:r>
    </w:p>
    <w:p w:rsidR="0094339C" w:rsidRDefault="0094339C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панкреатит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критерии хронического панкреатита, дифференциальная диагностика. Осложнения хронического панкреатита. </w:t>
      </w:r>
    </w:p>
    <w:p w:rsidR="00336EEF" w:rsidRDefault="0094339C" w:rsidP="00A452C3">
      <w:pPr>
        <w:pStyle w:val="af9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панкреатит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452C3" w:rsidRPr="00A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хронического панкреатита: диета, медикаментозное лечение (купирование болевого синдрома, компенсация экзокринной недостаточности, коррекция нарушений статуса питания),показания к хирургическому лечению.</w:t>
      </w:r>
    </w:p>
    <w:p w:rsidR="0094339C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Острый гломерулонефрит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этиология, патогенез, клинические проявления. </w:t>
      </w:r>
    </w:p>
    <w:p w:rsidR="0094339C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нефритическом синдроме. Методы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лечения, исходы, прогноз. </w:t>
      </w:r>
    </w:p>
    <w:p w:rsidR="0094339C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Острый гломерулонефрит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диагностики, принципы лечения, исходы, прогноз. Профилактика постстрептококковогогломерулонефрита</w:t>
      </w:r>
    </w:p>
    <w:p w:rsidR="0094339C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гломерулонефрит</w:t>
      </w:r>
      <w:r w:rsid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9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атогенез различных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(клиническая и морфологическая). </w:t>
      </w:r>
    </w:p>
    <w:p w:rsidR="0094339C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биопсии почки в диагностике нефрологических заболеваний.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функционального состояния почек. Мочевой синдром. </w:t>
      </w:r>
    </w:p>
    <w:p w:rsidR="0094339C" w:rsidRPr="0094339C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Хронический гломерулонефрит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лечению хроническогогломерулонефрита.</w:t>
      </w:r>
    </w:p>
    <w:p w:rsidR="0094339C" w:rsidRPr="0094339C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Инфекция мочевых путей: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проявления, диагностика, лечение.</w:t>
      </w:r>
    </w:p>
    <w:p w:rsidR="00D954FF" w:rsidRPr="00D954FF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Инфекция мочевых путей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Особенности ведения беременных женщин с инфекцией мочевых путей</w:t>
      </w:r>
    </w:p>
    <w:p w:rsidR="00D954FF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пиелонефрит</w:t>
      </w:r>
      <w:r w:rsid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954FF"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тиология, патогенез, классификация, клинические проявления, диагностика</w:t>
      </w:r>
      <w:r w:rsidR="00D95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лечение.</w:t>
      </w:r>
    </w:p>
    <w:p w:rsidR="0094339C" w:rsidRPr="0094339C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Хронический пиелонефрит.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Диагностика и 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лечение, особенности антибактериальной терапии, профилактика обострений.</w:t>
      </w:r>
    </w:p>
    <w:p w:rsidR="008D3352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Тубулоинтерстициальный нефрит: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развития, диагностика, лечение. </w:t>
      </w:r>
    </w:p>
    <w:p w:rsidR="0094339C" w:rsidRPr="0094339C" w:rsidRDefault="008D3352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Тубулоинтерстициальный нефрит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</w:t>
      </w:r>
      <w:r w:rsidRPr="008D3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ричины развития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диагностика.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лекарственных интерстициальных нефритов.</w:t>
      </w:r>
    </w:p>
    <w:p w:rsidR="00D954FF" w:rsidRPr="00D954FF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Тубулоинтерстициальный нефрит.</w:t>
      </w:r>
      <w:r w:rsidRPr="00D9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ифференциальная диагностика с гломерулонефритом, лечение. </w:t>
      </w:r>
    </w:p>
    <w:p w:rsidR="0094339C" w:rsidRPr="00D954FF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Нефротический синдром</w:t>
      </w:r>
      <w:r w:rsidRPr="00D954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D9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частые заболевания, сопровождающиеся развитием нефротического синдрома, патогенез, клинические проявления, диагностика, терапевтическая тактика.</w:t>
      </w:r>
    </w:p>
    <w:p w:rsidR="00D954FF" w:rsidRPr="00D954FF" w:rsidRDefault="00D954F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Нефротический синдром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95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линические проявления, диагностика, осложнения, терапевтическая тактика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00C1F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Амилоидоз почек: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представления об этиологии и патогенезе, классификация. Наиболее частые заболевания, сопровождающиеся развитием амилоидоза. </w:t>
      </w:r>
      <w:r w:rsid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0C1F" w:rsidRP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ерапевтическая тактика, профилактические мероприятия.</w:t>
      </w:r>
    </w:p>
    <w:p w:rsidR="00E73F4C" w:rsidRDefault="00E73F4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Амилоидоз почек:</w:t>
      </w:r>
      <w:r w:rsidR="00771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3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лассификация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частые заболевания, сопровождающиеся развитием амилоидоза.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ерапевтическая тактика, профилактические мероприятия.</w:t>
      </w:r>
    </w:p>
    <w:p w:rsidR="0094339C" w:rsidRPr="0094339C" w:rsidRDefault="00100C1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Амилоидоз почек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стадии амилоидоза почек, диагностика, роль морфологического исследования, терапевтическая тактика, профилактические мероприятия.</w:t>
      </w:r>
    </w:p>
    <w:p w:rsidR="00100C1F" w:rsidRDefault="0094339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Хроническая болезнь почек (ХБП):</w:t>
      </w:r>
      <w:r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стадий. </w:t>
      </w:r>
      <w:r w:rsidR="00100C1F" w:rsidRP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прогрессирования ХБП</w:t>
      </w:r>
      <w:r w:rsid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C1F" w:rsidRP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функционального состояния почек.</w:t>
      </w:r>
    </w:p>
    <w:p w:rsidR="00100C1F" w:rsidRDefault="00100C1F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Хроническая болезнь почек (ХБП):о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заболевания, приводящие к развитию ХБП. Факторы прогрессирования ХБП. </w:t>
      </w:r>
      <w:r w:rsidRPr="001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функционального состояния почек.</w:t>
      </w:r>
    </w:p>
    <w:p w:rsidR="00100C1F" w:rsidRDefault="008D3352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Хроническая болезнь почек (ХБП)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Клинические проявления, методы диагностики, консервативное лечение ХБП. </w:t>
      </w:r>
    </w:p>
    <w:p w:rsidR="0094339C" w:rsidRDefault="008D3352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Хроническая болезнь почек (ХБП)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94339C" w:rsidRPr="0094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Терапевтические аспекты при использовании методов экстракорпоральнойдетоксикации или эфферентных методов (гемодиализ, перитонеальный диализ). Трансплантация почки.</w:t>
      </w:r>
    </w:p>
    <w:p w:rsidR="00E73F4C" w:rsidRPr="0094339C" w:rsidRDefault="00E73F4C" w:rsidP="00B420B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Хроническая болезнь почек (ХБП).</w:t>
      </w:r>
      <w:r w:rsidR="00B4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3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онсервативное лечение ХБП</w:t>
      </w:r>
      <w:r w:rsidR="00B42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420BB" w:rsidRPr="00B42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Трансплантация почки.</w:t>
      </w: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9C" w:rsidRDefault="0094339C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52" w:rsidRDefault="008D3352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52" w:rsidRDefault="008D3352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52" w:rsidRDefault="008D3352" w:rsidP="00336EEF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3352" w:rsidSect="008D335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4B" w:rsidRDefault="006F1A4B">
      <w:pPr>
        <w:spacing w:after="0" w:line="240" w:lineRule="auto"/>
      </w:pPr>
      <w:r>
        <w:separator/>
      </w:r>
    </w:p>
  </w:endnote>
  <w:endnote w:type="continuationSeparator" w:id="1">
    <w:p w:rsidR="006F1A4B" w:rsidRDefault="006F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4B" w:rsidRDefault="006F1A4B">
      <w:pPr>
        <w:spacing w:after="0" w:line="240" w:lineRule="auto"/>
      </w:pPr>
      <w:r>
        <w:separator/>
      </w:r>
    </w:p>
  </w:footnote>
  <w:footnote w:type="continuationSeparator" w:id="1">
    <w:p w:rsidR="006F1A4B" w:rsidRDefault="006F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478"/>
    <w:multiLevelType w:val="hybridMultilevel"/>
    <w:tmpl w:val="05C227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F4AA4"/>
    <w:multiLevelType w:val="hybridMultilevel"/>
    <w:tmpl w:val="157221C0"/>
    <w:lvl w:ilvl="0" w:tplc="4FD2C2D2">
      <w:start w:val="1"/>
      <w:numFmt w:val="decimal"/>
      <w:lvlText w:val="%1)"/>
      <w:lvlJc w:val="right"/>
      <w:pPr>
        <w:ind w:left="720" w:hanging="360"/>
      </w:pPr>
    </w:lvl>
    <w:lvl w:ilvl="1" w:tplc="A8E022B4">
      <w:start w:val="1"/>
      <w:numFmt w:val="lowerLetter"/>
      <w:lvlText w:val="%2."/>
      <w:lvlJc w:val="left"/>
      <w:pPr>
        <w:ind w:left="1440" w:hanging="360"/>
      </w:pPr>
    </w:lvl>
    <w:lvl w:ilvl="2" w:tplc="CE46D91C">
      <w:start w:val="1"/>
      <w:numFmt w:val="lowerRoman"/>
      <w:lvlText w:val="%3."/>
      <w:lvlJc w:val="right"/>
      <w:pPr>
        <w:ind w:left="2160" w:hanging="180"/>
      </w:pPr>
    </w:lvl>
    <w:lvl w:ilvl="3" w:tplc="C6320590">
      <w:start w:val="1"/>
      <w:numFmt w:val="decimal"/>
      <w:lvlText w:val="%4."/>
      <w:lvlJc w:val="left"/>
      <w:pPr>
        <w:ind w:left="2880" w:hanging="360"/>
      </w:pPr>
    </w:lvl>
    <w:lvl w:ilvl="4" w:tplc="E5126A9A">
      <w:start w:val="1"/>
      <w:numFmt w:val="lowerLetter"/>
      <w:lvlText w:val="%5."/>
      <w:lvlJc w:val="left"/>
      <w:pPr>
        <w:ind w:left="3600" w:hanging="360"/>
      </w:pPr>
    </w:lvl>
    <w:lvl w:ilvl="5" w:tplc="2A9E3F44">
      <w:start w:val="1"/>
      <w:numFmt w:val="lowerRoman"/>
      <w:lvlText w:val="%6."/>
      <w:lvlJc w:val="right"/>
      <w:pPr>
        <w:ind w:left="4320" w:hanging="180"/>
      </w:pPr>
    </w:lvl>
    <w:lvl w:ilvl="6" w:tplc="656A05C4">
      <w:start w:val="1"/>
      <w:numFmt w:val="decimal"/>
      <w:lvlText w:val="%7."/>
      <w:lvlJc w:val="left"/>
      <w:pPr>
        <w:ind w:left="5040" w:hanging="360"/>
      </w:pPr>
    </w:lvl>
    <w:lvl w:ilvl="7" w:tplc="A6E88B2C">
      <w:start w:val="1"/>
      <w:numFmt w:val="lowerLetter"/>
      <w:lvlText w:val="%8."/>
      <w:lvlJc w:val="left"/>
      <w:pPr>
        <w:ind w:left="5760" w:hanging="360"/>
      </w:pPr>
    </w:lvl>
    <w:lvl w:ilvl="8" w:tplc="8EAE44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964"/>
    <w:multiLevelType w:val="hybridMultilevel"/>
    <w:tmpl w:val="C4406FC6"/>
    <w:lvl w:ilvl="0" w:tplc="1E74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054A68"/>
    <w:multiLevelType w:val="hybridMultilevel"/>
    <w:tmpl w:val="7AE40AEC"/>
    <w:lvl w:ilvl="0" w:tplc="7E64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66BF8"/>
    <w:multiLevelType w:val="hybridMultilevel"/>
    <w:tmpl w:val="6E960578"/>
    <w:lvl w:ilvl="0" w:tplc="FAE23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37A2"/>
    <w:multiLevelType w:val="hybridMultilevel"/>
    <w:tmpl w:val="9A3EB8CE"/>
    <w:lvl w:ilvl="0" w:tplc="C1A2EB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3802"/>
    <w:multiLevelType w:val="hybridMultilevel"/>
    <w:tmpl w:val="2EAAB92C"/>
    <w:lvl w:ilvl="0" w:tplc="FAE23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53F9"/>
    <w:multiLevelType w:val="hybridMultilevel"/>
    <w:tmpl w:val="9A3EB8CE"/>
    <w:lvl w:ilvl="0" w:tplc="C1A2EB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3678B"/>
    <w:multiLevelType w:val="hybridMultilevel"/>
    <w:tmpl w:val="20F236EE"/>
    <w:lvl w:ilvl="0" w:tplc="B6DA6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6F10"/>
    <w:multiLevelType w:val="hybridMultilevel"/>
    <w:tmpl w:val="20F236EE"/>
    <w:lvl w:ilvl="0" w:tplc="B6DA6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706AC"/>
    <w:multiLevelType w:val="hybridMultilevel"/>
    <w:tmpl w:val="083898D4"/>
    <w:lvl w:ilvl="0" w:tplc="FAE238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A3FD8"/>
    <w:multiLevelType w:val="hybridMultilevel"/>
    <w:tmpl w:val="2EAAB92C"/>
    <w:lvl w:ilvl="0" w:tplc="FAE23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568AD"/>
    <w:multiLevelType w:val="hybridMultilevel"/>
    <w:tmpl w:val="2EAAB92C"/>
    <w:lvl w:ilvl="0" w:tplc="FAE23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27C6A"/>
    <w:multiLevelType w:val="hybridMultilevel"/>
    <w:tmpl w:val="65FE2DC4"/>
    <w:lvl w:ilvl="0" w:tplc="6CBE3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A2630"/>
    <w:multiLevelType w:val="hybridMultilevel"/>
    <w:tmpl w:val="8BC20B14"/>
    <w:lvl w:ilvl="0" w:tplc="E8AA4FB2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1F8"/>
    <w:rsid w:val="000355D4"/>
    <w:rsid w:val="000878A2"/>
    <w:rsid w:val="00100C1F"/>
    <w:rsid w:val="0018081A"/>
    <w:rsid w:val="001967AE"/>
    <w:rsid w:val="002D73AB"/>
    <w:rsid w:val="00336EEF"/>
    <w:rsid w:val="00355B71"/>
    <w:rsid w:val="003951F8"/>
    <w:rsid w:val="003C15B0"/>
    <w:rsid w:val="003C6079"/>
    <w:rsid w:val="004017F1"/>
    <w:rsid w:val="00431319"/>
    <w:rsid w:val="00454C03"/>
    <w:rsid w:val="005A6A78"/>
    <w:rsid w:val="005B195F"/>
    <w:rsid w:val="006F1A4B"/>
    <w:rsid w:val="00747F7C"/>
    <w:rsid w:val="00771ECE"/>
    <w:rsid w:val="00843F3D"/>
    <w:rsid w:val="00850AA3"/>
    <w:rsid w:val="008D3352"/>
    <w:rsid w:val="0094339C"/>
    <w:rsid w:val="0098657E"/>
    <w:rsid w:val="00A15946"/>
    <w:rsid w:val="00A27577"/>
    <w:rsid w:val="00A452C3"/>
    <w:rsid w:val="00A5236C"/>
    <w:rsid w:val="00B05343"/>
    <w:rsid w:val="00B420BB"/>
    <w:rsid w:val="00BB2EED"/>
    <w:rsid w:val="00C0623E"/>
    <w:rsid w:val="00CD5E5F"/>
    <w:rsid w:val="00D954FF"/>
    <w:rsid w:val="00E630F1"/>
    <w:rsid w:val="00E73F4C"/>
    <w:rsid w:val="00E8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F1"/>
  </w:style>
  <w:style w:type="paragraph" w:styleId="1">
    <w:name w:val="heading 1"/>
    <w:basedOn w:val="a"/>
    <w:next w:val="a"/>
    <w:link w:val="10"/>
    <w:uiPriority w:val="9"/>
    <w:qFormat/>
    <w:rsid w:val="00E630F1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30F1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630F1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30F1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630F1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630F1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E630F1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630F1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630F1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30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630F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630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630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630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630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630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630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630F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sid w:val="00E630F1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E630F1"/>
    <w:rPr>
      <w:sz w:val="24"/>
      <w:szCs w:val="24"/>
    </w:rPr>
  </w:style>
  <w:style w:type="character" w:customStyle="1" w:styleId="21">
    <w:name w:val="Цитата 2 Знак"/>
    <w:link w:val="22"/>
    <w:uiPriority w:val="29"/>
    <w:rsid w:val="00E630F1"/>
    <w:rPr>
      <w:i/>
    </w:rPr>
  </w:style>
  <w:style w:type="character" w:customStyle="1" w:styleId="a7">
    <w:name w:val="Выделенная цитата Знак"/>
    <w:link w:val="a8"/>
    <w:uiPriority w:val="30"/>
    <w:rsid w:val="00E630F1"/>
    <w:rPr>
      <w:i/>
    </w:rPr>
  </w:style>
  <w:style w:type="character" w:customStyle="1" w:styleId="a9">
    <w:name w:val="Верхний колонтитул Знак"/>
    <w:link w:val="aa"/>
    <w:uiPriority w:val="99"/>
    <w:rsid w:val="00E630F1"/>
  </w:style>
  <w:style w:type="character" w:customStyle="1" w:styleId="FooterChar">
    <w:name w:val="Footer Char"/>
    <w:uiPriority w:val="99"/>
    <w:rsid w:val="00E630F1"/>
  </w:style>
  <w:style w:type="paragraph" w:styleId="ab">
    <w:name w:val="caption"/>
    <w:basedOn w:val="a"/>
    <w:next w:val="a"/>
    <w:uiPriority w:val="35"/>
    <w:semiHidden/>
    <w:unhideWhenUsed/>
    <w:qFormat/>
    <w:rsid w:val="00E630F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  <w:rsid w:val="00E630F1"/>
  </w:style>
  <w:style w:type="table" w:styleId="ae">
    <w:name w:val="Table Grid"/>
    <w:basedOn w:val="a1"/>
    <w:uiPriority w:val="59"/>
    <w:rsid w:val="00E630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30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30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30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3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630F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30F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630F1"/>
    <w:rPr>
      <w:sz w:val="18"/>
    </w:rPr>
  </w:style>
  <w:style w:type="character" w:styleId="af2">
    <w:name w:val="footnote reference"/>
    <w:uiPriority w:val="99"/>
    <w:unhideWhenUsed/>
    <w:rsid w:val="00E630F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630F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630F1"/>
    <w:rPr>
      <w:sz w:val="20"/>
    </w:rPr>
  </w:style>
  <w:style w:type="character" w:styleId="af5">
    <w:name w:val="endnote reference"/>
    <w:uiPriority w:val="99"/>
    <w:semiHidden/>
    <w:unhideWhenUsed/>
    <w:rsid w:val="00E630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630F1"/>
    <w:pPr>
      <w:spacing w:after="57"/>
    </w:pPr>
  </w:style>
  <w:style w:type="paragraph" w:styleId="23">
    <w:name w:val="toc 2"/>
    <w:basedOn w:val="a"/>
    <w:next w:val="a"/>
    <w:uiPriority w:val="39"/>
    <w:unhideWhenUsed/>
    <w:rsid w:val="00E630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30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30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30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30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30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30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30F1"/>
    <w:pPr>
      <w:spacing w:after="57"/>
      <w:ind w:left="2268"/>
    </w:pPr>
  </w:style>
  <w:style w:type="paragraph" w:styleId="af6">
    <w:name w:val="TOC Heading"/>
    <w:uiPriority w:val="39"/>
    <w:unhideWhenUsed/>
    <w:rsid w:val="00E630F1"/>
  </w:style>
  <w:style w:type="paragraph" w:styleId="af7">
    <w:name w:val="table of figures"/>
    <w:basedOn w:val="a"/>
    <w:next w:val="a"/>
    <w:uiPriority w:val="99"/>
    <w:unhideWhenUsed/>
    <w:rsid w:val="00E630F1"/>
    <w:pPr>
      <w:spacing w:after="0"/>
    </w:pPr>
  </w:style>
  <w:style w:type="paragraph" w:styleId="ad">
    <w:name w:val="footer"/>
    <w:basedOn w:val="a"/>
    <w:link w:val="ac"/>
    <w:uiPriority w:val="99"/>
    <w:unhideWhenUsed/>
    <w:rsid w:val="00E630F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rsid w:val="00E630F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rsid w:val="00E630F1"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rsid w:val="00E630F1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E630F1"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E630F1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E630F1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rsid w:val="00E630F1"/>
    <w:pPr>
      <w:ind w:left="720"/>
      <w:contextualSpacing/>
    </w:pPr>
  </w:style>
  <w:style w:type="paragraph" w:styleId="afa">
    <w:name w:val="Plain Text"/>
    <w:basedOn w:val="a"/>
    <w:link w:val="afb"/>
    <w:rsid w:val="00454C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454C0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2024-06-01T10:35:00Z</dcterms:created>
  <dcterms:modified xsi:type="dcterms:W3CDTF">2024-06-01T10:35:00Z</dcterms:modified>
</cp:coreProperties>
</file>