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A9" w:rsidRPr="00005CE1" w:rsidRDefault="000D1EA9" w:rsidP="000D1EA9">
      <w:pPr>
        <w:tabs>
          <w:tab w:val="left" w:pos="6300"/>
        </w:tabs>
        <w:jc w:val="center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УЧРЕЖДЕНИЕ ОБРАЗОВАНИЯ</w:t>
      </w:r>
    </w:p>
    <w:p w:rsidR="000D1EA9" w:rsidRPr="00005CE1" w:rsidRDefault="000D1EA9" w:rsidP="000D1EA9">
      <w:pPr>
        <w:ind w:firstLine="709"/>
        <w:jc w:val="center"/>
        <w:rPr>
          <w:rFonts w:eastAsia="Times New Roman"/>
          <w:lang w:eastAsia="ru-RU"/>
        </w:rPr>
      </w:pPr>
      <w:r w:rsidRPr="00005CE1">
        <w:rPr>
          <w:rFonts w:eastAsia="Times New Roman"/>
          <w:lang w:eastAsia="ru-RU"/>
        </w:rPr>
        <w:t>ВИТЕБСКИЙ ОРДЕНА ДРУЖБЫ НАРОДОВ</w:t>
      </w:r>
      <w:r>
        <w:rPr>
          <w:rFonts w:eastAsia="Times New Roman"/>
          <w:lang w:eastAsia="ru-RU"/>
        </w:rPr>
        <w:t xml:space="preserve"> </w:t>
      </w:r>
      <w:r w:rsidRPr="00005CE1">
        <w:rPr>
          <w:rFonts w:eastAsia="Times New Roman"/>
          <w:lang w:eastAsia="ru-RU"/>
        </w:rPr>
        <w:t xml:space="preserve">МЕДИЦИНСКИЙ УНИВЕРСИТЕТ </w:t>
      </w:r>
    </w:p>
    <w:p w:rsidR="000D1EA9" w:rsidRPr="00005CE1" w:rsidRDefault="000D1EA9" w:rsidP="000D1EA9">
      <w:pPr>
        <w:jc w:val="center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КАФЕДРА ТЕРАПЕВТИЧЕСКОЙ СТОМАТОЛОГИИ</w:t>
      </w:r>
      <w:r>
        <w:rPr>
          <w:rFonts w:eastAsia="Times New Roman"/>
          <w:szCs w:val="24"/>
          <w:lang w:eastAsia="ru-RU"/>
        </w:rPr>
        <w:t xml:space="preserve"> С КУРСОМ ФПК И ПК</w:t>
      </w:r>
    </w:p>
    <w:p w:rsidR="000D1EA9" w:rsidRPr="00005CE1" w:rsidRDefault="000D1EA9" w:rsidP="000D1EA9">
      <w:pPr>
        <w:jc w:val="center"/>
        <w:rPr>
          <w:rFonts w:eastAsia="Times New Roman"/>
          <w:szCs w:val="24"/>
          <w:lang w:eastAsia="ru-RU"/>
        </w:rPr>
      </w:pPr>
    </w:p>
    <w:p w:rsidR="000D1EA9" w:rsidRPr="00005CE1" w:rsidRDefault="000D1EA9" w:rsidP="000D1EA9">
      <w:pPr>
        <w:jc w:val="center"/>
        <w:rPr>
          <w:rFonts w:eastAsia="Times New Roman"/>
          <w:szCs w:val="24"/>
          <w:lang w:eastAsia="ru-RU"/>
        </w:rPr>
      </w:pPr>
    </w:p>
    <w:p w:rsidR="000D1EA9" w:rsidRPr="00005CE1" w:rsidRDefault="000D1EA9" w:rsidP="000D1EA9">
      <w:pPr>
        <w:jc w:val="center"/>
        <w:rPr>
          <w:rFonts w:eastAsia="Times New Roman"/>
          <w:szCs w:val="24"/>
          <w:lang w:eastAsia="ru-RU"/>
        </w:rPr>
      </w:pPr>
    </w:p>
    <w:p w:rsidR="000D1EA9" w:rsidRPr="00005CE1" w:rsidRDefault="000D1EA9" w:rsidP="000D1EA9">
      <w:pPr>
        <w:ind w:firstLine="6663"/>
        <w:jc w:val="left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>Обсуждено на заседании кафедры</w:t>
      </w:r>
    </w:p>
    <w:p w:rsidR="000D1EA9" w:rsidRPr="00005CE1" w:rsidRDefault="000D1EA9" w:rsidP="000D1EA9">
      <w:pPr>
        <w:keepNext/>
        <w:ind w:firstLine="6663"/>
        <w:jc w:val="left"/>
        <w:outlineLvl w:val="0"/>
        <w:rPr>
          <w:rFonts w:eastAsia="Times New Roman"/>
          <w:szCs w:val="24"/>
          <w:lang w:eastAsia="ru-RU"/>
        </w:rPr>
      </w:pPr>
      <w:r w:rsidRPr="00005CE1">
        <w:rPr>
          <w:rFonts w:eastAsia="Times New Roman"/>
          <w:szCs w:val="24"/>
          <w:lang w:eastAsia="ru-RU"/>
        </w:rPr>
        <w:t xml:space="preserve">Протокол № </w:t>
      </w:r>
      <w:r>
        <w:rPr>
          <w:rFonts w:eastAsia="Times New Roman"/>
          <w:szCs w:val="24"/>
          <w:lang w:eastAsia="ru-RU"/>
        </w:rPr>
        <w:t>1</w:t>
      </w:r>
      <w:r w:rsidRPr="00005CE1">
        <w:rPr>
          <w:rFonts w:eastAsia="Times New Roman"/>
          <w:szCs w:val="24"/>
          <w:lang w:eastAsia="ru-RU"/>
        </w:rPr>
        <w:t xml:space="preserve"> от </w:t>
      </w:r>
      <w:r>
        <w:rPr>
          <w:rFonts w:eastAsia="Times New Roman"/>
          <w:szCs w:val="24"/>
          <w:lang w:eastAsia="ru-RU"/>
        </w:rPr>
        <w:t>01.09.202</w:t>
      </w:r>
      <w:r w:rsidR="00E56E79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 xml:space="preserve"> </w:t>
      </w:r>
      <w:r w:rsidRPr="00005CE1">
        <w:rPr>
          <w:rFonts w:eastAsia="Times New Roman"/>
          <w:szCs w:val="24"/>
          <w:lang w:eastAsia="ru-RU"/>
        </w:rPr>
        <w:t>года</w:t>
      </w:r>
    </w:p>
    <w:p w:rsidR="000D1EA9" w:rsidRPr="00005CE1" w:rsidRDefault="000D1EA9" w:rsidP="000D1EA9">
      <w:pPr>
        <w:jc w:val="left"/>
        <w:rPr>
          <w:rFonts w:eastAsia="Times New Roman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24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24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24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24"/>
          <w:szCs w:val="24"/>
          <w:lang w:eastAsia="ru-RU"/>
        </w:rPr>
      </w:pPr>
    </w:p>
    <w:p w:rsidR="000D1EA9" w:rsidRPr="00005CE1" w:rsidRDefault="00E56E79" w:rsidP="000D1EA9">
      <w:pPr>
        <w:keepNext/>
        <w:tabs>
          <w:tab w:val="left" w:pos="3420"/>
        </w:tabs>
        <w:jc w:val="center"/>
        <w:outlineLvl w:val="1"/>
        <w:rPr>
          <w:rFonts w:eastAsia="Times New Roman"/>
          <w:b/>
          <w:bCs/>
          <w:lang w:eastAsia="ru-RU"/>
        </w:rPr>
      </w:pPr>
      <w:r w:rsidRPr="00E56E79">
        <w:rPr>
          <w:b/>
        </w:rPr>
        <w:t>МЕТОДИЧЕСКИЕ УКАЗАНИЯ</w:t>
      </w:r>
      <w:r w:rsidRPr="00005CE1">
        <w:rPr>
          <w:rFonts w:eastAsia="Times New Roman"/>
          <w:b/>
          <w:bCs/>
          <w:lang w:eastAsia="ru-RU"/>
        </w:rPr>
        <w:t xml:space="preserve"> </w:t>
      </w:r>
      <w:r w:rsidR="000D1EA9" w:rsidRPr="00005CE1">
        <w:rPr>
          <w:rFonts w:eastAsia="Times New Roman"/>
          <w:b/>
          <w:bCs/>
          <w:lang w:eastAsia="ru-RU"/>
        </w:rPr>
        <w:t xml:space="preserve">№ </w:t>
      </w:r>
      <w:r w:rsidR="000D1EA9">
        <w:rPr>
          <w:rFonts w:eastAsia="Times New Roman"/>
          <w:b/>
          <w:bCs/>
          <w:lang w:eastAsia="ru-RU"/>
        </w:rPr>
        <w:t>21</w:t>
      </w:r>
    </w:p>
    <w:p w:rsidR="000D1EA9" w:rsidRPr="00005CE1" w:rsidRDefault="000D1EA9" w:rsidP="000D1EA9">
      <w:pPr>
        <w:keepNext/>
        <w:jc w:val="center"/>
        <w:outlineLvl w:val="2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keepNext/>
        <w:jc w:val="center"/>
        <w:outlineLvl w:val="2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 xml:space="preserve">для проведения занятия со студентами </w:t>
      </w:r>
      <w:r>
        <w:rPr>
          <w:rFonts w:eastAsia="Times New Roman"/>
          <w:sz w:val="32"/>
          <w:szCs w:val="24"/>
          <w:lang w:eastAsia="ru-RU"/>
        </w:rPr>
        <w:t>5</w:t>
      </w:r>
      <w:r w:rsidRPr="00005CE1">
        <w:rPr>
          <w:rFonts w:eastAsia="Times New Roman"/>
          <w:sz w:val="32"/>
          <w:szCs w:val="24"/>
          <w:lang w:eastAsia="ru-RU"/>
        </w:rPr>
        <w:t xml:space="preserve"> курса в </w:t>
      </w:r>
      <w:r>
        <w:rPr>
          <w:rFonts w:eastAsia="Times New Roman"/>
          <w:sz w:val="32"/>
          <w:szCs w:val="24"/>
          <w:lang w:eastAsia="ru-RU"/>
        </w:rPr>
        <w:t>10</w:t>
      </w:r>
      <w:r w:rsidRPr="00005CE1">
        <w:rPr>
          <w:rFonts w:eastAsia="Times New Roman"/>
          <w:sz w:val="32"/>
          <w:szCs w:val="24"/>
          <w:lang w:eastAsia="ru-RU"/>
        </w:rPr>
        <w:t xml:space="preserve"> семестре</w:t>
      </w:r>
    </w:p>
    <w:p w:rsidR="000D1EA9" w:rsidRPr="00005CE1" w:rsidRDefault="000D1EA9" w:rsidP="000D1EA9">
      <w:pPr>
        <w:jc w:val="center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>стоматологического факультета по терапевтической стоматологии</w:t>
      </w:r>
    </w:p>
    <w:p w:rsidR="000D1EA9" w:rsidRPr="00005CE1" w:rsidRDefault="000D1EA9" w:rsidP="000D1EA9">
      <w:pPr>
        <w:jc w:val="center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 xml:space="preserve">(для </w:t>
      </w:r>
      <w:r>
        <w:rPr>
          <w:rFonts w:eastAsia="Times New Roman"/>
          <w:sz w:val="32"/>
          <w:szCs w:val="24"/>
          <w:lang w:eastAsia="ru-RU"/>
        </w:rPr>
        <w:t>студентов</w:t>
      </w:r>
      <w:r w:rsidRPr="00005CE1">
        <w:rPr>
          <w:rFonts w:eastAsia="Times New Roman"/>
          <w:sz w:val="32"/>
          <w:szCs w:val="24"/>
          <w:lang w:eastAsia="ru-RU"/>
        </w:rPr>
        <w:t>)</w:t>
      </w: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center"/>
        <w:rPr>
          <w:rFonts w:eastAsia="Times New Roman"/>
          <w:sz w:val="32"/>
          <w:szCs w:val="24"/>
          <w:lang w:eastAsia="ru-RU"/>
        </w:rPr>
      </w:pPr>
    </w:p>
    <w:p w:rsidR="000D1EA9" w:rsidRDefault="000D1EA9" w:rsidP="000D1EA9">
      <w:pPr>
        <w:jc w:val="center"/>
        <w:rPr>
          <w:rFonts w:eastAsia="Times New Roman"/>
          <w:b/>
          <w:sz w:val="32"/>
          <w:lang w:eastAsia="ru-RU"/>
        </w:rPr>
      </w:pPr>
      <w:r w:rsidRPr="00005CE1">
        <w:rPr>
          <w:rFonts w:eastAsia="Times New Roman"/>
          <w:b/>
          <w:sz w:val="36"/>
          <w:szCs w:val="24"/>
          <w:lang w:eastAsia="ru-RU"/>
        </w:rPr>
        <w:t xml:space="preserve">Тема: </w:t>
      </w:r>
      <w:r w:rsidRPr="00005CE1">
        <w:rPr>
          <w:rFonts w:eastAsia="Times New Roman"/>
          <w:b/>
          <w:sz w:val="32"/>
          <w:lang w:eastAsia="ru-RU"/>
        </w:rPr>
        <w:t>Контрольная работа №</w:t>
      </w:r>
      <w:r>
        <w:rPr>
          <w:rFonts w:eastAsia="Times New Roman"/>
          <w:b/>
          <w:sz w:val="32"/>
          <w:lang w:eastAsia="ru-RU"/>
        </w:rPr>
        <w:t xml:space="preserve"> 2:</w:t>
      </w:r>
    </w:p>
    <w:p w:rsidR="000D1EA9" w:rsidRPr="00005CE1" w:rsidRDefault="000D1EA9" w:rsidP="000D1EA9">
      <w:pPr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«</w:t>
      </w:r>
      <w:r w:rsidRPr="00515C22">
        <w:rPr>
          <w:b/>
        </w:rPr>
        <w:t xml:space="preserve">Методы лечения пульпита. Клиника, диагностика и лечение хронического апикального периодонтита. Принципы </w:t>
      </w:r>
      <w:proofErr w:type="spellStart"/>
      <w:r w:rsidRPr="00515C22">
        <w:rPr>
          <w:b/>
        </w:rPr>
        <w:t>постэндодонтического</w:t>
      </w:r>
      <w:proofErr w:type="spellEnd"/>
      <w:r w:rsidRPr="00515C22">
        <w:rPr>
          <w:b/>
        </w:rPr>
        <w:t xml:space="preserve"> восстановления зубов. Методы диагностики, лечения, профилактики воспалительных заболеваний периодонта</w:t>
      </w:r>
      <w:r w:rsidRPr="00005CE1">
        <w:rPr>
          <w:b/>
        </w:rPr>
        <w:t>»</w:t>
      </w:r>
    </w:p>
    <w:p w:rsidR="000D1EA9" w:rsidRDefault="000D1EA9" w:rsidP="000D1EA9">
      <w:pPr>
        <w:jc w:val="center"/>
        <w:rPr>
          <w:rFonts w:eastAsia="Times New Roman"/>
          <w:b/>
          <w:lang w:eastAsia="ru-RU"/>
        </w:rPr>
      </w:pPr>
    </w:p>
    <w:p w:rsidR="000D1EA9" w:rsidRPr="00005CE1" w:rsidRDefault="000D1EA9" w:rsidP="000D1EA9">
      <w:pPr>
        <w:jc w:val="center"/>
        <w:rPr>
          <w:rFonts w:eastAsia="Times New Roman"/>
          <w:b/>
          <w:lang w:eastAsia="ru-RU"/>
        </w:rPr>
      </w:pPr>
      <w:r w:rsidRPr="00757F6B">
        <w:rPr>
          <w:rFonts w:eastAsia="Times New Roman"/>
          <w:b/>
          <w:sz w:val="32"/>
          <w:szCs w:val="32"/>
          <w:lang w:eastAsia="ru-RU"/>
        </w:rPr>
        <w:t>Итоговое занятие</w:t>
      </w:r>
      <w:r>
        <w:rPr>
          <w:rFonts w:eastAsia="Times New Roman"/>
          <w:b/>
          <w:lang w:eastAsia="ru-RU"/>
        </w:rPr>
        <w:t>.</w:t>
      </w:r>
    </w:p>
    <w:p w:rsidR="000D1EA9" w:rsidRPr="00005CE1" w:rsidRDefault="000D1EA9" w:rsidP="000D1EA9">
      <w:pPr>
        <w:jc w:val="center"/>
        <w:rPr>
          <w:rFonts w:eastAsia="Times New Roman"/>
          <w:b/>
          <w:lang w:eastAsia="ru-RU"/>
        </w:rPr>
      </w:pPr>
    </w:p>
    <w:p w:rsidR="000D1EA9" w:rsidRPr="00005CE1" w:rsidRDefault="000D1EA9" w:rsidP="000D1EA9">
      <w:pPr>
        <w:jc w:val="center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jc w:val="left"/>
        <w:rPr>
          <w:rFonts w:eastAsia="Times New Roman"/>
          <w:sz w:val="32"/>
          <w:szCs w:val="24"/>
          <w:lang w:eastAsia="ru-RU"/>
        </w:rPr>
      </w:pPr>
    </w:p>
    <w:p w:rsidR="000D1EA9" w:rsidRPr="00005CE1" w:rsidRDefault="000D1EA9" w:rsidP="000D1EA9">
      <w:pPr>
        <w:keepNext/>
        <w:jc w:val="right"/>
        <w:outlineLvl w:val="3"/>
        <w:rPr>
          <w:rFonts w:eastAsia="Times New Roman"/>
          <w:sz w:val="32"/>
          <w:szCs w:val="24"/>
          <w:lang w:eastAsia="ru-RU"/>
        </w:rPr>
      </w:pPr>
      <w:r w:rsidRPr="00005CE1">
        <w:rPr>
          <w:rFonts w:eastAsia="Times New Roman"/>
          <w:sz w:val="32"/>
          <w:szCs w:val="24"/>
          <w:lang w:eastAsia="ru-RU"/>
        </w:rPr>
        <w:t>Время 6 часов</w:t>
      </w:r>
    </w:p>
    <w:p w:rsidR="000D1EA9" w:rsidRPr="00005CE1" w:rsidRDefault="000D1EA9" w:rsidP="000D1EA9">
      <w:pPr>
        <w:jc w:val="left"/>
        <w:rPr>
          <w:rFonts w:eastAsia="Times New Roman"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rPr>
          <w:rFonts w:eastAsia="Times New Roman"/>
          <w:b/>
          <w:i/>
          <w:sz w:val="24"/>
          <w:szCs w:val="24"/>
          <w:lang w:eastAsia="ru-RU"/>
        </w:rPr>
      </w:pPr>
    </w:p>
    <w:p w:rsidR="000D1EA9" w:rsidRPr="00005CE1" w:rsidRDefault="000D1EA9" w:rsidP="000D1EA9">
      <w:pPr>
        <w:ind w:left="-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05CE1">
        <w:rPr>
          <w:rFonts w:eastAsia="Times New Roman"/>
          <w:b/>
          <w:lang w:eastAsia="ru-RU"/>
        </w:rPr>
        <w:t>Витебск 20</w:t>
      </w:r>
      <w:r>
        <w:rPr>
          <w:rFonts w:eastAsia="Times New Roman"/>
          <w:b/>
          <w:lang w:eastAsia="ru-RU"/>
        </w:rPr>
        <w:t>2</w:t>
      </w:r>
      <w:r w:rsidR="00E56E79">
        <w:rPr>
          <w:rFonts w:eastAsia="Times New Roman"/>
          <w:b/>
          <w:lang w:eastAsia="ru-RU"/>
        </w:rPr>
        <w:t>3</w:t>
      </w:r>
      <w:bookmarkStart w:id="0" w:name="_GoBack"/>
      <w:bookmarkEnd w:id="0"/>
      <w:r w:rsidRPr="00005CE1"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0D1EA9" w:rsidRPr="00FF455C" w:rsidRDefault="000D1EA9" w:rsidP="000D1EA9">
      <w:pPr>
        <w:widowControl w:val="0"/>
        <w:autoSpaceDE w:val="0"/>
        <w:autoSpaceDN w:val="0"/>
        <w:adjustRightInd w:val="0"/>
      </w:pPr>
      <w:r w:rsidRPr="00FF455C">
        <w:rPr>
          <w:rFonts w:eastAsia="Times New Roman"/>
          <w:b/>
          <w:bCs/>
          <w:lang w:eastAsia="ru-RU"/>
        </w:rPr>
        <w:lastRenderedPageBreak/>
        <w:t xml:space="preserve">1. Учебные и воспитательные цели: </w:t>
      </w:r>
      <w:r w:rsidRPr="00FF455C">
        <w:t>контроль уровня теоретической подготовки.</w:t>
      </w:r>
    </w:p>
    <w:p w:rsidR="000D1EA9" w:rsidRPr="00FF455C" w:rsidRDefault="000D1EA9" w:rsidP="000D1EA9">
      <w:pPr>
        <w:rPr>
          <w:rFonts w:eastAsia="Times New Roman"/>
          <w:lang w:eastAsia="ru-RU"/>
        </w:rPr>
      </w:pPr>
    </w:p>
    <w:p w:rsidR="000D1EA9" w:rsidRPr="00FF455C" w:rsidRDefault="000D1EA9" w:rsidP="000D1EA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FF455C">
        <w:rPr>
          <w:rFonts w:eastAsia="Times New Roman"/>
          <w:b/>
          <w:bCs/>
          <w:lang w:eastAsia="ru-RU"/>
        </w:rPr>
        <w:t>2. Материальное оснащение</w:t>
      </w:r>
    </w:p>
    <w:p w:rsidR="000D1EA9" w:rsidRPr="00FF455C" w:rsidRDefault="000D1EA9" w:rsidP="000D1EA9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0D1EA9" w:rsidRPr="00FF455C" w:rsidRDefault="000D1EA9" w:rsidP="000D1EA9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2. Стоматологические установки.</w:t>
      </w:r>
    </w:p>
    <w:p w:rsidR="000D1EA9" w:rsidRPr="00FF455C" w:rsidRDefault="000D1EA9" w:rsidP="000D1EA9">
      <w:p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3. Учебные и наглядные пособия:</w:t>
      </w:r>
    </w:p>
    <w:p w:rsidR="000D1EA9" w:rsidRPr="00FF455C" w:rsidRDefault="000D1EA9" w:rsidP="000D1EA9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учебная литература</w:t>
      </w:r>
    </w:p>
    <w:p w:rsidR="000D1EA9" w:rsidRPr="00FF455C" w:rsidRDefault="000D1EA9" w:rsidP="000D1EA9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стоматологический инструментарий</w:t>
      </w:r>
    </w:p>
    <w:p w:rsidR="000D1EA9" w:rsidRPr="00FF455C" w:rsidRDefault="000D1EA9" w:rsidP="000D1EA9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 xml:space="preserve">амбулаторная карта формы 043/у-06 </w:t>
      </w:r>
    </w:p>
    <w:p w:rsidR="000D1EA9" w:rsidRPr="00FF455C" w:rsidRDefault="000D1EA9" w:rsidP="000D1EA9">
      <w:pPr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FF455C">
        <w:rPr>
          <w:rFonts w:eastAsia="Times New Roman"/>
          <w:lang w:eastAsia="ru-RU"/>
        </w:rPr>
        <w:t>методические разработки кафедры</w:t>
      </w:r>
    </w:p>
    <w:p w:rsidR="000D1EA9" w:rsidRPr="00FF455C" w:rsidRDefault="000D1EA9" w:rsidP="000D1EA9">
      <w:pPr>
        <w:jc w:val="center"/>
        <w:rPr>
          <w:rFonts w:eastAsia="Times New Roman"/>
          <w:b/>
          <w:lang w:eastAsia="ru-RU"/>
        </w:rPr>
      </w:pPr>
    </w:p>
    <w:p w:rsidR="000D1EA9" w:rsidRPr="00FF455C" w:rsidRDefault="000D1EA9" w:rsidP="000D1EA9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Вопросы к контрольной работе № 2</w:t>
      </w:r>
      <w:r w:rsidRPr="00FF455C">
        <w:rPr>
          <w:rFonts w:eastAsia="Times New Roman"/>
          <w:b/>
          <w:lang w:eastAsia="ru-RU"/>
        </w:rPr>
        <w:t>.</w:t>
      </w:r>
    </w:p>
    <w:p w:rsidR="000D1EA9" w:rsidRPr="00FF455C" w:rsidRDefault="000D1EA9" w:rsidP="000D1EA9"/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Метод витальной ампутации.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Метод витальной экстирпации.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Показания к проведению эндодонтического лечения зубов в несколько посещений.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proofErr w:type="spellStart"/>
      <w:r>
        <w:t>Девитальный</w:t>
      </w:r>
      <w:proofErr w:type="spellEnd"/>
      <w:r>
        <w:t xml:space="preserve"> метод лечения пульпита.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Хронический фиброзный верхушечный периодонтит.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Хронический гранулирующий верхушечный периодонтит.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Хронический гранулематозный верхушечный периодонтит.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Дифференциальная диагностика хронических форм верхушечного периодонтита.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Методы рентгенологического исследования, их интерпретация.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Алгоритм чтения рентгенограмм при патологии челюстно-лицевой области.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Показания к выбору метода лечения.  Апикального периодонтита.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 xml:space="preserve">Протокол эндодонтического лечения (европейское общество </w:t>
      </w:r>
      <w:proofErr w:type="spellStart"/>
      <w:r>
        <w:t>эндодонтистов</w:t>
      </w:r>
      <w:proofErr w:type="spellEnd"/>
      <w:r>
        <w:t>, 1994г.).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Классификации штифтов.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Показания к применению внутриканальных штифтов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Основные правила выбора конструкции постов, планирования и проведения восстановления зубов с использованием внутриканальных штифтов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proofErr w:type="spellStart"/>
      <w:r>
        <w:t>Парапульпарные</w:t>
      </w:r>
      <w:proofErr w:type="spellEnd"/>
      <w:r>
        <w:t xml:space="preserve"> штифты: показания и противопоказания, техника и особенности установки </w:t>
      </w:r>
      <w:proofErr w:type="spellStart"/>
      <w:r>
        <w:t>пинов</w:t>
      </w:r>
      <w:proofErr w:type="spellEnd"/>
      <w:r>
        <w:t xml:space="preserve">, ошибки и осложнения при постановке </w:t>
      </w:r>
      <w:proofErr w:type="spellStart"/>
      <w:r>
        <w:t>пинов</w:t>
      </w:r>
      <w:proofErr w:type="spellEnd"/>
      <w:r>
        <w:t>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Основные принципы обследования пациентов с хроническим периодонтитом.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Основные методы диагностики хронического периодонтита.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Глубина кармана и клиническая потеря прикрепления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 xml:space="preserve">Подвижность зубов и функциональный анализ 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Рентгенологическое исследование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Дополнительные диагностические тесты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Лекарственная терапия болезней периодонта.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Общее и местное медикаментозное лечение заболеваний периодонта.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Симптоматический гингивит беременных: клиника, диагностика, дифференциальная диагностика.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Составление плана лечения симптоматического гингивита беременных.</w:t>
      </w:r>
    </w:p>
    <w:p w:rsidR="000D1EA9" w:rsidRDefault="000D1EA9" w:rsidP="000D1EA9">
      <w:pPr>
        <w:pStyle w:val="a3"/>
        <w:numPr>
          <w:ilvl w:val="0"/>
          <w:numId w:val="2"/>
        </w:numPr>
        <w:ind w:left="454" w:hanging="454"/>
      </w:pPr>
      <w:r>
        <w:t>Прогноз симптоматического гингивита беременных.</w:t>
      </w:r>
    </w:p>
    <w:p w:rsidR="000D1EA9" w:rsidRPr="00FF455C" w:rsidRDefault="000D1EA9" w:rsidP="000D1EA9"/>
    <w:p w:rsidR="000D1EA9" w:rsidRDefault="000D1EA9" w:rsidP="000D1EA9">
      <w:r>
        <w:t>Доцент</w:t>
      </w:r>
      <w:r w:rsidRPr="00FF455C">
        <w:t xml:space="preserve"> кафедры терапевтической </w:t>
      </w:r>
    </w:p>
    <w:p w:rsidR="00D726D9" w:rsidRDefault="000D1EA9">
      <w:r w:rsidRPr="00FF455C">
        <w:t>стоматологии</w:t>
      </w:r>
      <w:r>
        <w:t xml:space="preserve"> с курсом ФПК и ПК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Волкова М.Н.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26D9" w:rsidSect="0067376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718"/>
    <w:multiLevelType w:val="hybridMultilevel"/>
    <w:tmpl w:val="6E5A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1B7"/>
    <w:multiLevelType w:val="hybridMultilevel"/>
    <w:tmpl w:val="EDFEF0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A9"/>
    <w:rsid w:val="000D1EA9"/>
    <w:rsid w:val="002C5D76"/>
    <w:rsid w:val="003207CE"/>
    <w:rsid w:val="00675E7B"/>
    <w:rsid w:val="00D726D9"/>
    <w:rsid w:val="00E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2022-01-10T07:56:00Z</dcterms:created>
  <dcterms:modified xsi:type="dcterms:W3CDTF">2023-10-30T12:52:00Z</dcterms:modified>
</cp:coreProperties>
</file>